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500" w:lineRule="exact"/>
        <w:rPr>
          <w:rFonts w:ascii="Times New Roman" w:hAnsi="Times New Roman" w:cs="Times New Roman"/>
          <w:sz w:val="36"/>
          <w:szCs w:val="36"/>
        </w:rPr>
      </w:pPr>
      <w:bookmarkStart w:id="28" w:name="_GoBack"/>
      <w:bookmarkEnd w:id="28"/>
    </w:p>
    <w:p>
      <w:pPr>
        <w:spacing w:line="500" w:lineRule="exact"/>
        <w:rPr>
          <w:rFonts w:ascii="Times New Roman" w:hAnsi="Times New Roman" w:cs="Times New Roman"/>
          <w:sz w:val="36"/>
          <w:szCs w:val="36"/>
        </w:rPr>
      </w:pPr>
    </w:p>
    <w:p>
      <w:pPr>
        <w:spacing w:line="500" w:lineRule="exact"/>
        <w:rPr>
          <w:rFonts w:ascii="Times New Roman" w:hAnsi="Times New Roman" w:cs="Times New Roman"/>
          <w:sz w:val="36"/>
          <w:szCs w:val="36"/>
        </w:rPr>
      </w:pPr>
    </w:p>
    <w:p>
      <w:pPr>
        <w:spacing w:line="500" w:lineRule="exact"/>
        <w:rPr>
          <w:rFonts w:ascii="Times New Roman" w:cs="Times New Roman"/>
          <w:sz w:val="36"/>
          <w:szCs w:val="36"/>
        </w:rPr>
      </w:pPr>
    </w:p>
    <w:p>
      <w:pPr>
        <w:spacing w:line="500" w:lineRule="exact"/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="Times New Roman" w:cs="Times New Roman"/>
          <w:b/>
          <w:sz w:val="36"/>
          <w:szCs w:val="36"/>
        </w:rPr>
        <w:t>目</w:t>
      </w:r>
      <w:r>
        <w:rPr>
          <w:rFonts w:hint="eastAsia" w:ascii="Times New Roman" w:cs="Times New Roman"/>
          <w:b/>
          <w:sz w:val="36"/>
          <w:szCs w:val="36"/>
        </w:rPr>
        <w:t xml:space="preserve">    </w:t>
      </w:r>
      <w:r>
        <w:rPr>
          <w:rFonts w:ascii="Times New Roman" w:cs="Times New Roman"/>
          <w:b/>
          <w:sz w:val="36"/>
          <w:szCs w:val="36"/>
        </w:rPr>
        <w:t>录</w:t>
      </w:r>
    </w:p>
    <w:p>
      <w:pPr>
        <w:spacing w:line="500" w:lineRule="exact"/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pStyle w:val="18"/>
        <w:rPr>
          <w:kern w:val="2"/>
          <w:sz w:val="21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TOC \o "1-1" \h \z \u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</w:p>
    <w:p>
      <w:pPr>
        <w:pStyle w:val="18"/>
        <w:rPr>
          <w:kern w:val="2"/>
          <w:sz w:val="21"/>
          <w:szCs w:val="22"/>
        </w:rPr>
      </w:pPr>
      <w:r>
        <w:fldChar w:fldCharType="begin"/>
      </w:r>
      <w:r>
        <w:instrText xml:space="preserve"> HYPERLINK \l "_Toc81309230" </w:instrText>
      </w:r>
      <w:r>
        <w:fldChar w:fldCharType="separate"/>
      </w:r>
      <w:r>
        <w:rPr>
          <w:rStyle w:val="27"/>
          <w:rFonts w:hint="eastAsia" w:ascii="Times New Roman" w:cs="Times New Roman"/>
        </w:rPr>
        <w:t>一、目的</w:t>
      </w:r>
      <w:r>
        <w:tab/>
      </w:r>
      <w:r>
        <w:fldChar w:fldCharType="begin"/>
      </w:r>
      <w:r>
        <w:instrText xml:space="preserve"> PAGEREF _Toc81309230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8"/>
        <w:rPr>
          <w:kern w:val="2"/>
          <w:sz w:val="21"/>
          <w:szCs w:val="22"/>
        </w:rPr>
      </w:pPr>
      <w:r>
        <w:fldChar w:fldCharType="begin"/>
      </w:r>
      <w:r>
        <w:instrText xml:space="preserve"> HYPERLINK \l "_Toc81309231" </w:instrText>
      </w:r>
      <w:r>
        <w:fldChar w:fldCharType="separate"/>
      </w:r>
      <w:r>
        <w:rPr>
          <w:rStyle w:val="27"/>
          <w:rFonts w:hint="eastAsia" w:ascii="Times New Roman" w:cs="Times New Roman"/>
        </w:rPr>
        <w:t>二、</w:t>
      </w:r>
      <w:r>
        <w:rPr>
          <w:rStyle w:val="27"/>
          <w:rFonts w:hint="eastAsia" w:ascii="宋体" w:hAnsi="宋体" w:cs="Arial"/>
        </w:rPr>
        <w:t>一般说明</w:t>
      </w:r>
      <w:r>
        <w:tab/>
      </w:r>
      <w:r>
        <w:fldChar w:fldCharType="begin"/>
      </w:r>
      <w:r>
        <w:instrText xml:space="preserve"> PAGEREF _Toc81309231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8"/>
        <w:rPr>
          <w:kern w:val="2"/>
          <w:sz w:val="21"/>
          <w:szCs w:val="22"/>
        </w:rPr>
      </w:pPr>
      <w:r>
        <w:fldChar w:fldCharType="begin"/>
      </w:r>
      <w:r>
        <w:instrText xml:space="preserve"> HYPERLINK \l "_Toc81309232" </w:instrText>
      </w:r>
      <w:r>
        <w:fldChar w:fldCharType="separate"/>
      </w:r>
      <w:r>
        <w:rPr>
          <w:rStyle w:val="27"/>
          <w:rFonts w:hint="eastAsia" w:ascii="Times New Roman" w:cs="Times New Roman"/>
        </w:rPr>
        <w:t>三、术语及定义</w:t>
      </w:r>
      <w:r>
        <w:tab/>
      </w:r>
      <w:r>
        <w:fldChar w:fldCharType="begin"/>
      </w:r>
      <w:r>
        <w:instrText xml:space="preserve"> PAGEREF _Toc81309232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8"/>
        <w:rPr>
          <w:kern w:val="2"/>
          <w:sz w:val="21"/>
          <w:szCs w:val="22"/>
        </w:rPr>
      </w:pPr>
      <w:r>
        <w:fldChar w:fldCharType="begin"/>
      </w:r>
      <w:r>
        <w:instrText xml:space="preserve"> HYPERLINK \l "_Toc81309233" </w:instrText>
      </w:r>
      <w:r>
        <w:fldChar w:fldCharType="separate"/>
      </w:r>
      <w:r>
        <w:rPr>
          <w:rStyle w:val="27"/>
          <w:rFonts w:hint="eastAsia" w:ascii="Times New Roman" w:cs="Times New Roman"/>
        </w:rPr>
        <w:t>四、法律法规及标准</w:t>
      </w:r>
      <w:r>
        <w:tab/>
      </w:r>
      <w:r>
        <w:fldChar w:fldCharType="begin"/>
      </w:r>
      <w:r>
        <w:instrText xml:space="preserve"> PAGEREF _Toc81309233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8"/>
        <w:rPr>
          <w:kern w:val="2"/>
          <w:sz w:val="21"/>
          <w:szCs w:val="22"/>
        </w:rPr>
      </w:pPr>
      <w:r>
        <w:fldChar w:fldCharType="begin"/>
      </w:r>
      <w:r>
        <w:instrText xml:space="preserve"> HYPERLINK \l "_Toc81309234" </w:instrText>
      </w:r>
      <w:r>
        <w:fldChar w:fldCharType="separate"/>
      </w:r>
      <w:r>
        <w:rPr>
          <w:rStyle w:val="27"/>
          <w:rFonts w:hint="eastAsia" w:ascii="Times New Roman" w:cs="Times New Roman"/>
        </w:rPr>
        <w:t>五、用户需求标准</w:t>
      </w:r>
      <w:r>
        <w:tab/>
      </w:r>
      <w:r>
        <w:fldChar w:fldCharType="begin"/>
      </w:r>
      <w:r>
        <w:instrText xml:space="preserve"> PAGEREF _Toc81309234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8"/>
        <w:rPr>
          <w:kern w:val="2"/>
          <w:sz w:val="21"/>
          <w:szCs w:val="22"/>
        </w:rPr>
      </w:pPr>
      <w:r>
        <w:fldChar w:fldCharType="begin"/>
      </w:r>
      <w:r>
        <w:instrText xml:space="preserve"> HYPERLINK \l "_Toc81309235" </w:instrText>
      </w:r>
      <w:r>
        <w:fldChar w:fldCharType="separate"/>
      </w:r>
      <w:r>
        <w:rPr>
          <w:rStyle w:val="27"/>
          <w:rFonts w:hint="eastAsia" w:ascii="Times New Roman" w:cs="Times New Roman"/>
        </w:rPr>
        <w:t>六</w:t>
      </w:r>
      <w:r>
        <w:rPr>
          <w:rStyle w:val="27"/>
          <w:rFonts w:ascii="Times New Roman" w:cs="Times New Roman"/>
        </w:rPr>
        <w:t xml:space="preserve"> </w:t>
      </w:r>
      <w:r>
        <w:rPr>
          <w:rStyle w:val="27"/>
          <w:rFonts w:hint="eastAsia" w:ascii="Times New Roman" w:cs="Times New Roman"/>
        </w:rPr>
        <w:t>供货要求</w:t>
      </w:r>
      <w:r>
        <w:tab/>
      </w:r>
      <w:r>
        <w:fldChar w:fldCharType="begin"/>
      </w:r>
      <w:r>
        <w:instrText xml:space="preserve"> PAGEREF _Toc81309235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widowControl/>
        <w:spacing w:line="500" w:lineRule="exact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 w:val="36"/>
          <w:szCs w:val="36"/>
        </w:rPr>
        <w:br w:type="page"/>
      </w:r>
    </w:p>
    <w:p>
      <w:pPr>
        <w:pStyle w:val="2"/>
        <w:rPr>
          <w:rFonts w:ascii="Times New Roman" w:hAnsi="Times New Roman" w:cs="Times New Roman"/>
        </w:rPr>
      </w:pPr>
      <w:bookmarkStart w:id="0" w:name="_Toc81309230"/>
      <w:r>
        <w:rPr>
          <w:rFonts w:ascii="Times New Roman" w:cs="Times New Roman"/>
        </w:rPr>
        <w:t>一、目的</w:t>
      </w:r>
      <w:bookmarkEnd w:id="0"/>
    </w:p>
    <w:p>
      <w:pPr>
        <w:spacing w:line="500" w:lineRule="exact"/>
        <w:ind w:firstLine="465"/>
        <w:jc w:val="left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本URS方案</w:t>
      </w:r>
      <w:r>
        <w:rPr>
          <w:szCs w:val="21"/>
        </w:rPr>
        <w:t>是</w:t>
      </w:r>
      <w:r>
        <w:rPr>
          <w:rFonts w:hint="eastAsia"/>
          <w:szCs w:val="21"/>
        </w:rPr>
        <w:t>对</w:t>
      </w:r>
      <w:r>
        <w:rPr>
          <w:rFonts w:hint="eastAsia"/>
          <w:b/>
          <w:bCs/>
          <w:szCs w:val="21"/>
        </w:rPr>
        <w:t>恒温恒湿箱</w:t>
      </w:r>
      <w:r>
        <w:rPr>
          <w:szCs w:val="21"/>
        </w:rPr>
        <w:t>供应商提出的具体用户需求标准说明，设备供应商以此为依据进行设备的选型并最终完成详细设计，为将来的设备确认提供依据。</w:t>
      </w:r>
    </w:p>
    <w:p>
      <w:pPr>
        <w:pStyle w:val="2"/>
        <w:keepLines w:val="0"/>
        <w:widowControl/>
        <w:suppressAutoHyphens/>
        <w:spacing w:before="120" w:after="120" w:line="240" w:lineRule="auto"/>
        <w:rPr>
          <w:rFonts w:ascii="宋体" w:hAnsi="宋体" w:cs="Arial"/>
        </w:rPr>
      </w:pPr>
      <w:bookmarkStart w:id="1" w:name="_Toc81309231"/>
      <w:r>
        <w:rPr>
          <w:rFonts w:ascii="Times New Roman" w:cs="Times New Roman"/>
        </w:rPr>
        <w:t>二、</w:t>
      </w:r>
      <w:bookmarkStart w:id="2" w:name="_Toc13268_WPSOffice_Level1"/>
      <w:bookmarkStart w:id="3" w:name="_Toc14812_WPSOffice_Level1"/>
      <w:bookmarkStart w:id="4" w:name="_Toc4954_WPSOffice_Level1"/>
      <w:r>
        <w:rPr>
          <w:rFonts w:hint="eastAsia" w:ascii="宋体" w:hAnsi="宋体" w:cs="Arial"/>
        </w:rPr>
        <w:t>一般说明</w:t>
      </w:r>
      <w:bookmarkEnd w:id="1"/>
      <w:bookmarkEnd w:id="2"/>
      <w:bookmarkEnd w:id="3"/>
      <w:bookmarkEnd w:id="4"/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bookmarkStart w:id="5" w:name="_Toc409785680"/>
      <w:r>
        <w:rPr>
          <w:rFonts w:ascii="宋体" w:hAnsi="宋体"/>
          <w:color w:val="000000"/>
          <w:szCs w:val="21"/>
        </w:rPr>
        <w:t>本URS系统的阐述了对所需仪器设备的工作过程及功能的需求，以及相关法规符合度和用户的具体需求。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URS中仅提出基本的技术要求和设备的基本要求，并不限制卖方设备具有更高的设计与制造标准及更加完善的功能、更完善的配置和性能、更优异的部件和更高水平的系统配置及服务。仪器设备应满足中国有关设计、制造、安全、环保等规程、规范和强制性标准要求。</w:t>
      </w:r>
    </w:p>
    <w:tbl>
      <w:tblPr>
        <w:tblStyle w:val="23"/>
        <w:tblW w:w="8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48"/>
        <w:gridCol w:w="850"/>
        <w:gridCol w:w="2127"/>
        <w:gridCol w:w="3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atLeast"/>
        </w:trPr>
        <w:tc>
          <w:tcPr>
            <w:tcW w:w="1848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850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数量</w:t>
            </w:r>
          </w:p>
        </w:tc>
        <w:tc>
          <w:tcPr>
            <w:tcW w:w="2127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交货时间</w:t>
            </w:r>
          </w:p>
        </w:tc>
        <w:tc>
          <w:tcPr>
            <w:tcW w:w="3596" w:type="dxa"/>
            <w:shd w:val="clear" w:color="auto" w:fill="BFBFB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主要技术规格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</w:trPr>
        <w:tc>
          <w:tcPr>
            <w:tcW w:w="18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恒温恒湿箱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5"/>
              <w:ind w:firstLine="0"/>
              <w:jc w:val="center"/>
              <w:rPr>
                <w:rFonts w:hAnsi="宋体" w:eastAsiaTheme="minorEastAsia" w:cstheme="minorBidi"/>
                <w:color w:val="000000"/>
                <w:kern w:val="2"/>
                <w:sz w:val="21"/>
                <w:szCs w:val="21"/>
              </w:rPr>
            </w:pPr>
            <w:r>
              <w:rPr>
                <w:rFonts w:hAnsi="宋体" w:eastAsiaTheme="minorEastAsia" w:cstheme="minorBidi"/>
                <w:color w:val="000000"/>
                <w:kern w:val="2"/>
                <w:sz w:val="21"/>
                <w:szCs w:val="21"/>
              </w:rPr>
              <w:t>3台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合同生效后1个月</w:t>
            </w:r>
          </w:p>
        </w:tc>
        <w:tc>
          <w:tcPr>
            <w:tcW w:w="3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详见本章节的技术规格及相关要求</w:t>
            </w:r>
          </w:p>
        </w:tc>
      </w:tr>
    </w:tbl>
    <w:p>
      <w:pPr>
        <w:spacing w:line="360" w:lineRule="auto"/>
        <w:ind w:firstLine="360" w:firstLineChars="150"/>
        <w:rPr>
          <w:rFonts w:ascii="宋体" w:hAnsi="宋体"/>
          <w:color w:val="000000"/>
          <w:sz w:val="24"/>
          <w:szCs w:val="24"/>
        </w:rPr>
      </w:pPr>
    </w:p>
    <w:p>
      <w:pPr>
        <w:pStyle w:val="2"/>
        <w:rPr>
          <w:rFonts w:ascii="Times New Roman" w:cs="Times New Roman"/>
        </w:rPr>
      </w:pPr>
      <w:bookmarkStart w:id="6" w:name="_Toc81309232"/>
      <w:r>
        <w:rPr>
          <w:rFonts w:hint="eastAsia" w:ascii="Times New Roman" w:cs="Times New Roman"/>
        </w:rPr>
        <w:t>三、术语及定义</w:t>
      </w:r>
      <w:bookmarkEnd w:id="5"/>
      <w:bookmarkEnd w:id="6"/>
    </w:p>
    <w:tbl>
      <w:tblPr>
        <w:tblStyle w:val="23"/>
        <w:tblW w:w="838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6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33"/>
              <w:spacing w:line="276" w:lineRule="auto"/>
              <w:jc w:val="center"/>
              <w:rPr>
                <w:rFonts w:ascii="Times New Roman" w:cs="Times New Roman"/>
                <w:b/>
                <w:sz w:val="21"/>
                <w:szCs w:val="21"/>
                <w:lang w:val="zh-CN"/>
              </w:rPr>
            </w:pPr>
            <w:r>
              <w:rPr>
                <w:rFonts w:ascii="Times New Roman" w:cs="Times New Roman"/>
                <w:b/>
                <w:sz w:val="21"/>
                <w:szCs w:val="21"/>
                <w:lang w:val="zh-CN"/>
              </w:rPr>
              <w:t xml:space="preserve">Term </w:t>
            </w:r>
            <w:r>
              <w:rPr>
                <w:rFonts w:hint="eastAsia" w:ascii="Times New Roman" w:hAnsi="宋体" w:cs="Times New Roman"/>
                <w:b/>
                <w:sz w:val="21"/>
                <w:szCs w:val="21"/>
                <w:lang w:val="zh-CN"/>
              </w:rPr>
              <w:t>术语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33"/>
              <w:spacing w:line="276" w:lineRule="auto"/>
              <w:jc w:val="center"/>
              <w:rPr>
                <w:rFonts w:ascii="Times New Roman" w:cs="Times New Roman"/>
                <w:b/>
                <w:sz w:val="21"/>
                <w:szCs w:val="21"/>
                <w:lang w:val="zh-CN"/>
              </w:rPr>
            </w:pPr>
            <w:r>
              <w:rPr>
                <w:rFonts w:ascii="Times New Roman" w:cs="Times New Roman"/>
                <w:b/>
                <w:sz w:val="21"/>
                <w:szCs w:val="21"/>
                <w:lang w:val="zh-CN"/>
              </w:rPr>
              <w:t xml:space="preserve">Definition </w:t>
            </w:r>
            <w:r>
              <w:rPr>
                <w:rFonts w:hint="eastAsia" w:ascii="Times New Roman" w:hAnsi="宋体" w:cs="Times New Roman"/>
                <w:b/>
                <w:sz w:val="21"/>
                <w:szCs w:val="21"/>
                <w:lang w:val="zh-CN"/>
              </w:rPr>
              <w:t>定义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GMP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Good Manufacturing Practices  </w:t>
            </w:r>
            <w:r>
              <w:rPr>
                <w:rFonts w:hint="eastAsia" w:hAnsi="宋体"/>
                <w:color w:val="000000"/>
                <w:szCs w:val="21"/>
              </w:rPr>
              <w:t>药品生产质量管理规范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"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cGMP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" w:line="276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Current Good Manufacturing Practice现行药品生产质量管理规范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URS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User Requirement Specification </w:t>
            </w:r>
            <w:r>
              <w:rPr>
                <w:rFonts w:hint="eastAsia" w:hAnsi="宋体"/>
                <w:color w:val="000000"/>
                <w:szCs w:val="21"/>
              </w:rPr>
              <w:t>用户需求标准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DQ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spacing w:before="20" w:line="276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Design Qualification</w:t>
            </w:r>
            <w:r>
              <w:rPr>
                <w:rFonts w:hint="eastAsia" w:ascii="Times New Roman" w:hAnsi="宋体"/>
                <w:color w:val="000000"/>
                <w:szCs w:val="21"/>
                <w:lang w:eastAsia="zh-CN"/>
              </w:rPr>
              <w:t>设计确认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IQ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0"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Installation Qualification </w:t>
            </w:r>
            <w:r>
              <w:rPr>
                <w:rFonts w:hint="eastAsia" w:hAnsi="宋体"/>
                <w:color w:val="000000"/>
                <w:szCs w:val="21"/>
              </w:rPr>
              <w:t>安装确认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OQ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Operational Qualification </w:t>
            </w:r>
            <w:r>
              <w:rPr>
                <w:rFonts w:hint="eastAsia" w:hAnsi="宋体"/>
                <w:color w:val="000000"/>
                <w:szCs w:val="21"/>
              </w:rPr>
              <w:t>运行确认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PQ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0"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Performance Qualification </w:t>
            </w:r>
            <w:r>
              <w:rPr>
                <w:rFonts w:hint="eastAsia" w:hAnsi="宋体"/>
                <w:color w:val="000000"/>
                <w:szCs w:val="21"/>
              </w:rPr>
              <w:t>性能确认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"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FDA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US Food and Drug Administration食品和药品管理局（美国）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"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SOP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" w:line="276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Standard Operating Procedure标准操作规程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"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WHO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" w:line="276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World Health Organization世界卫生组织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"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ICH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0" w:line="276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International Conference on Harmonization of Technical Requirements for Registration of Pharmaceuticals for Human Use人用药品注册技术要求国际协调会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ISO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International Standards Organization </w:t>
            </w:r>
            <w:r>
              <w:rPr>
                <w:rFonts w:hint="eastAsia" w:hAnsi="宋体"/>
                <w:color w:val="000000"/>
                <w:szCs w:val="21"/>
              </w:rPr>
              <w:t>国际标准组织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EHS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环境</w:t>
            </w:r>
            <w:r>
              <w:rPr>
                <w:rFonts w:hAnsi="宋体"/>
                <w:color w:val="000000"/>
                <w:szCs w:val="21"/>
              </w:rPr>
              <w:t xml:space="preserve"> Environment</w:t>
            </w:r>
            <w:r>
              <w:rPr>
                <w:rFonts w:hint="eastAsia" w:hAnsi="宋体"/>
                <w:color w:val="000000"/>
                <w:szCs w:val="21"/>
              </w:rPr>
              <w:t>、健康</w:t>
            </w:r>
            <w:r>
              <w:rPr>
                <w:rFonts w:hAnsi="宋体"/>
                <w:color w:val="000000"/>
                <w:szCs w:val="21"/>
              </w:rPr>
              <w:t>Health</w:t>
            </w:r>
            <w:r>
              <w:rPr>
                <w:rFonts w:hint="eastAsia" w:hAnsi="宋体"/>
                <w:color w:val="000000"/>
                <w:szCs w:val="21"/>
              </w:rPr>
              <w:t>、安全</w:t>
            </w:r>
            <w:r>
              <w:rPr>
                <w:rFonts w:hAnsi="宋体"/>
                <w:color w:val="000000"/>
                <w:szCs w:val="21"/>
              </w:rPr>
              <w:t>Safety</w:t>
            </w:r>
            <w:r>
              <w:rPr>
                <w:rFonts w:hint="eastAsia" w:hAnsi="宋体"/>
                <w:color w:val="000000"/>
                <w:szCs w:val="21"/>
              </w:rPr>
              <w:t>的缩写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NMPA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" w:line="276" w:lineRule="auto"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Nati</w:t>
            </w:r>
            <w:r>
              <w:rPr>
                <w:rFonts w:hAnsi="宋体"/>
                <w:color w:val="000000"/>
                <w:szCs w:val="21"/>
              </w:rPr>
              <w:t>o</w:t>
            </w:r>
            <w:r>
              <w:rPr>
                <w:rFonts w:hint="eastAsia" w:hAnsi="宋体"/>
                <w:color w:val="000000"/>
                <w:szCs w:val="21"/>
              </w:rPr>
              <w:t>nal</w:t>
            </w:r>
            <w:r>
              <w:rPr>
                <w:rFonts w:hAnsi="宋体"/>
                <w:color w:val="000000"/>
                <w:szCs w:val="21"/>
              </w:rPr>
              <w:t xml:space="preserve"> Medical Products Administration</w:t>
            </w:r>
            <w:r>
              <w:rPr>
                <w:rFonts w:hint="eastAsia" w:hAnsi="宋体"/>
                <w:color w:val="000000"/>
                <w:szCs w:val="21"/>
              </w:rPr>
              <w:t>国家药品监督管理局</w:t>
            </w:r>
          </w:p>
        </w:tc>
      </w:tr>
    </w:tbl>
    <w:p>
      <w:pPr>
        <w:pStyle w:val="2"/>
        <w:rPr>
          <w:rFonts w:ascii="Times New Roman" w:cs="Times New Roman"/>
        </w:rPr>
      </w:pPr>
      <w:bookmarkStart w:id="7" w:name="_Toc81309233"/>
      <w:r>
        <w:rPr>
          <w:rFonts w:hint="eastAsia" w:ascii="Times New Roman" w:cs="Times New Roman"/>
        </w:rPr>
        <w:t>四、法律法规及标准</w:t>
      </w:r>
      <w:bookmarkEnd w:id="7"/>
    </w:p>
    <w:p>
      <w:pPr>
        <w:pStyle w:val="32"/>
        <w:spacing w:line="360" w:lineRule="auto"/>
        <w:ind w:left="500" w:firstLine="0" w:firstLine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符合中国、美国、欧盟GMP的标准。</w:t>
      </w:r>
    </w:p>
    <w:p>
      <w:pPr>
        <w:pStyle w:val="2"/>
        <w:rPr>
          <w:rFonts w:ascii="Times New Roman" w:cs="Times New Roman"/>
        </w:rPr>
      </w:pPr>
      <w:bookmarkStart w:id="8" w:name="_Toc81309234"/>
      <w:r>
        <w:rPr>
          <w:rFonts w:ascii="Times New Roman" w:cs="Times New Roman"/>
        </w:rPr>
        <w:t>五</w:t>
      </w:r>
      <w:r>
        <w:rPr>
          <w:rFonts w:hint="eastAsia" w:ascii="Times New Roman" w:cs="Times New Roman"/>
        </w:rPr>
        <w:t>、用户需求标准</w:t>
      </w:r>
      <w:bookmarkEnd w:id="8"/>
    </w:p>
    <w:p>
      <w:pPr>
        <w:pStyle w:val="66"/>
        <w:spacing w:before="156" w:beforeLines="50" w:after="156" w:afterLines="50" w:line="360" w:lineRule="auto"/>
        <w:ind w:firstLine="0" w:firstLineChars="0"/>
        <w:outlineLvl w:val="1"/>
        <w:rPr>
          <w:rFonts w:ascii="Times New Roman" w:hAnsi="Times New Roman" w:eastAsiaTheme="majorEastAsia"/>
          <w:b/>
          <w:bCs/>
          <w:szCs w:val="21"/>
        </w:rPr>
      </w:pPr>
      <w:bookmarkStart w:id="9" w:name="_Toc374527916"/>
      <w:r>
        <w:rPr>
          <w:rFonts w:ascii="Times New Roman" w:hAnsi="Times New Roman" w:eastAsiaTheme="majorEastAsia"/>
          <w:b/>
          <w:bCs/>
          <w:szCs w:val="21"/>
        </w:rPr>
        <w:t>5.1环境要求</w:t>
      </w:r>
      <w:bookmarkEnd w:id="9"/>
    </w:p>
    <w:tbl>
      <w:tblPr>
        <w:tblStyle w:val="23"/>
        <w:tblW w:w="8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4555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序号</w:t>
            </w:r>
          </w:p>
        </w:tc>
        <w:tc>
          <w:tcPr>
            <w:tcW w:w="455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要求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必须或期望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供应商确认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URS01</w:t>
            </w:r>
          </w:p>
        </w:tc>
        <w:tc>
          <w:tcPr>
            <w:tcW w:w="4555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环境温度：5℃~32℃，湿度45~60%能正常工作，</w:t>
            </w:r>
          </w:p>
        </w:tc>
        <w:tc>
          <w:tcPr>
            <w:tcW w:w="1417" w:type="dxa"/>
            <w:vAlign w:val="center"/>
          </w:tcPr>
          <w:p>
            <w:pPr>
              <w:pStyle w:val="33"/>
              <w:jc w:val="center"/>
              <w:rPr>
                <w:rFonts w:asci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color w:val="auto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</w:tbl>
    <w:p>
      <w:pPr>
        <w:pStyle w:val="66"/>
        <w:spacing w:before="156" w:beforeLines="50" w:after="156" w:afterLines="50" w:line="360" w:lineRule="auto"/>
        <w:ind w:firstLine="0" w:firstLineChars="0"/>
        <w:outlineLvl w:val="1"/>
        <w:rPr>
          <w:rFonts w:ascii="Times New Roman" w:hAnsi="Times New Roman" w:eastAsiaTheme="majorEastAsia"/>
          <w:b/>
          <w:bCs/>
          <w:szCs w:val="21"/>
        </w:rPr>
      </w:pPr>
      <w:bookmarkStart w:id="10" w:name="_Toc374527917"/>
      <w:r>
        <w:rPr>
          <w:rFonts w:ascii="Times New Roman" w:hAnsi="Times New Roman" w:eastAsiaTheme="majorEastAsia"/>
          <w:b/>
          <w:bCs/>
          <w:szCs w:val="21"/>
        </w:rPr>
        <w:t>5.2技术要求</w:t>
      </w:r>
      <w:bookmarkEnd w:id="10"/>
    </w:p>
    <w:tbl>
      <w:tblPr>
        <w:tblStyle w:val="23"/>
        <w:tblW w:w="8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4309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序号</w:t>
            </w:r>
          </w:p>
        </w:tc>
        <w:tc>
          <w:tcPr>
            <w:tcW w:w="430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要求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必须或期望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供应商确认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URS02-1</w:t>
            </w:r>
          </w:p>
        </w:tc>
        <w:tc>
          <w:tcPr>
            <w:tcW w:w="4309" w:type="dxa"/>
          </w:tcPr>
          <w:p>
            <w:pPr>
              <w:pStyle w:val="75"/>
              <w:spacing w:before="0" w:beforeAutospacing="0" w:after="0" w:afterAutospacing="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温度范围：0- 70℃</w:t>
            </w:r>
          </w:p>
          <w:p>
            <w:pPr>
              <w:pStyle w:val="75"/>
              <w:spacing w:before="0" w:beforeAutospacing="0" w:after="0" w:afterAutospacing="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 xml:space="preserve">容积不小于700L    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URS02-2</w:t>
            </w:r>
          </w:p>
        </w:tc>
        <w:tc>
          <w:tcPr>
            <w:tcW w:w="4309" w:type="dxa"/>
          </w:tcPr>
          <w:p>
            <w:pPr>
              <w:pStyle w:val="75"/>
              <w:spacing w:before="0" w:beforeAutospacing="0" w:after="0" w:afterAutospacing="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温度波动度：</w:t>
            </w:r>
          </w:p>
          <w:p>
            <w:pPr>
              <w:pStyle w:val="75"/>
              <w:spacing w:before="0" w:beforeAutospacing="0" w:after="0" w:afterAutospacing="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25 °C / 60 % RH (± K) 0.1</w:t>
            </w:r>
          </w:p>
          <w:p>
            <w:pPr>
              <w:pStyle w:val="75"/>
              <w:spacing w:before="0" w:beforeAutospacing="0" w:after="0" w:afterAutospacing="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40 °C / 75 % RH (± K) 0.1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URS02-4</w:t>
            </w:r>
          </w:p>
        </w:tc>
        <w:tc>
          <w:tcPr>
            <w:tcW w:w="4309" w:type="dxa"/>
          </w:tcPr>
          <w:p>
            <w:pPr>
              <w:pStyle w:val="75"/>
              <w:spacing w:before="0" w:beforeAutospacing="0" w:after="0" w:afterAutospacing="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湿度波动度：：</w:t>
            </w:r>
          </w:p>
          <w:p>
            <w:pPr>
              <w:pStyle w:val="75"/>
              <w:spacing w:before="0" w:beforeAutospacing="0" w:after="0" w:afterAutospacing="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25 °C / 60 % RH (± % RH) 1,5</w:t>
            </w:r>
          </w:p>
          <w:p>
            <w:pPr>
              <w:pStyle w:val="75"/>
              <w:spacing w:before="0" w:beforeAutospacing="0" w:after="0" w:afterAutospacing="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40 °C / 75 % RH (± % RH) 1,5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ind w:firstLine="630" w:firstLineChars="30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URS02-5</w:t>
            </w:r>
          </w:p>
        </w:tc>
        <w:tc>
          <w:tcPr>
            <w:tcW w:w="4309" w:type="dxa"/>
            <w:vAlign w:val="center"/>
          </w:tcPr>
          <w:p>
            <w:pPr>
              <w:pStyle w:val="75"/>
              <w:spacing w:before="0" w:beforeAutospacing="0" w:after="0" w:afterAutospacing="0"/>
              <w:rPr>
                <w:rFonts w:ascii="Times New Roman" w:hAns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 w:val="21"/>
                <w:szCs w:val="21"/>
              </w:rPr>
              <w:t>温湿度控制方法：平衡调湿调温方式，保证温湿度准确可靠，波动度小，箱体内不同位置的温湿度均匀性好。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ind w:firstLine="630" w:firstLineChars="30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URS02-6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制冷系统：压缩机制冷，制冷效果更高效保证开关门恢复时间快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URS02-7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湿度传感器：原装进口湿度传感器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ind w:firstLine="630" w:firstLineChars="30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URS02-8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风道循环系统：进口风机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URS02-9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控制器： MCS控制器,可编程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URS02-10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测试点：40℃，75%RH；25℃，60%RH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URS02-11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双重保护：独立超温保护系统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URS02-12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工作环境温度：﹢5~32℃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URS02-13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内胆材料：不锈钢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URS02-14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水箱：外置水箱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期望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URS02-15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安全装置：压缩机过热、风机过热、超温、压缩机超压、过载、缺水保护，并保证检验设备能24小时持续运行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URS02-16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传感器：进口温度传感器；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URS02-17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计时装置：设备应具备时间累积计时器，以记录设备总工作时间。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URS02-18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验证孔：仪器侧面有验证专用孔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URS02-19</w:t>
            </w:r>
          </w:p>
        </w:tc>
        <w:tc>
          <w:tcPr>
            <w:tcW w:w="4309" w:type="dxa"/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具有远程短信报警或电话报警功能，至少可以设置3足电话号码。</w:t>
            </w:r>
          </w:p>
        </w:tc>
        <w:tc>
          <w:tcPr>
            <w:tcW w:w="1559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 xml:space="preserve">   </w:t>
            </w:r>
          </w:p>
        </w:tc>
      </w:tr>
    </w:tbl>
    <w:p>
      <w:pPr>
        <w:pStyle w:val="66"/>
        <w:spacing w:before="156" w:beforeLines="50" w:after="156" w:afterLines="50" w:line="360" w:lineRule="auto"/>
        <w:ind w:firstLine="0" w:firstLineChars="0"/>
        <w:outlineLvl w:val="1"/>
        <w:rPr>
          <w:rFonts w:ascii="Times New Roman" w:hAnsi="Times New Roman" w:eastAsiaTheme="majorEastAsia"/>
          <w:b/>
          <w:bCs/>
          <w:szCs w:val="21"/>
        </w:rPr>
      </w:pPr>
      <w:bookmarkStart w:id="11" w:name="_Toc374527918"/>
      <w:r>
        <w:rPr>
          <w:rFonts w:ascii="Times New Roman" w:hAnsi="Times New Roman" w:eastAsiaTheme="majorEastAsia"/>
          <w:b/>
          <w:bCs/>
          <w:szCs w:val="21"/>
        </w:rPr>
        <w:t>5.3电气要求</w:t>
      </w:r>
      <w:bookmarkEnd w:id="11"/>
    </w:p>
    <w:tbl>
      <w:tblPr>
        <w:tblStyle w:val="23"/>
        <w:tblW w:w="8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4352"/>
        <w:gridCol w:w="1418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序号</w:t>
            </w:r>
          </w:p>
        </w:tc>
        <w:tc>
          <w:tcPr>
            <w:tcW w:w="435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要求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必须或期望</w:t>
            </w:r>
          </w:p>
        </w:tc>
        <w:tc>
          <w:tcPr>
            <w:tcW w:w="139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供应商确认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URS03-1</w:t>
            </w:r>
          </w:p>
        </w:tc>
        <w:tc>
          <w:tcPr>
            <w:tcW w:w="4352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color w:val="auto"/>
                <w:sz w:val="21"/>
                <w:szCs w:val="21"/>
              </w:rPr>
              <w:t>使用3相4线制电源，220V，50Hz</w:t>
            </w:r>
          </w:p>
        </w:tc>
        <w:tc>
          <w:tcPr>
            <w:tcW w:w="1418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 xml:space="preserve"> 必需</w:t>
            </w:r>
          </w:p>
        </w:tc>
        <w:tc>
          <w:tcPr>
            <w:tcW w:w="1390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URS03-2</w:t>
            </w:r>
          </w:p>
        </w:tc>
        <w:tc>
          <w:tcPr>
            <w:tcW w:w="4352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电器控制相对独立，且防尘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390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URS03-3</w:t>
            </w:r>
          </w:p>
        </w:tc>
        <w:tc>
          <w:tcPr>
            <w:tcW w:w="4352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所有线缆均有标号并有连接线路图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390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URS03-4</w:t>
            </w:r>
          </w:p>
        </w:tc>
        <w:tc>
          <w:tcPr>
            <w:tcW w:w="4352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仪器具有接电线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390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URS03-5</w:t>
            </w:r>
          </w:p>
        </w:tc>
        <w:tc>
          <w:tcPr>
            <w:tcW w:w="4352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所有的线路应走接线槽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390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URS03-6</w:t>
            </w:r>
          </w:p>
        </w:tc>
        <w:tc>
          <w:tcPr>
            <w:tcW w:w="4352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所有的电器元件要有合格证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390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</w:tbl>
    <w:p>
      <w:pPr>
        <w:pStyle w:val="66"/>
        <w:spacing w:before="156" w:beforeLines="50" w:after="156" w:afterLines="50" w:line="360" w:lineRule="auto"/>
        <w:ind w:firstLine="0" w:firstLineChars="0"/>
        <w:outlineLvl w:val="1"/>
        <w:rPr>
          <w:rFonts w:ascii="Times New Roman" w:hAnsi="Times New Roman" w:eastAsiaTheme="majorEastAsia"/>
          <w:b/>
          <w:bCs/>
          <w:szCs w:val="21"/>
        </w:rPr>
      </w:pPr>
      <w:bookmarkStart w:id="12" w:name="_Toc374527919"/>
      <w:r>
        <w:rPr>
          <w:rFonts w:ascii="Times New Roman" w:hAnsi="Times New Roman" w:eastAsiaTheme="majorEastAsia"/>
          <w:b/>
          <w:bCs/>
          <w:szCs w:val="21"/>
        </w:rPr>
        <w:t>5.4安全要求</w:t>
      </w:r>
      <w:bookmarkEnd w:id="12"/>
    </w:p>
    <w:tbl>
      <w:tblPr>
        <w:tblStyle w:val="23"/>
        <w:tblW w:w="8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4387"/>
        <w:gridCol w:w="142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序号</w:t>
            </w:r>
          </w:p>
        </w:tc>
        <w:tc>
          <w:tcPr>
            <w:tcW w:w="438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要求</w:t>
            </w:r>
          </w:p>
        </w:tc>
        <w:tc>
          <w:tcPr>
            <w:tcW w:w="142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必须或期望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供应商确认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URS04-1</w:t>
            </w:r>
          </w:p>
        </w:tc>
        <w:tc>
          <w:tcPr>
            <w:tcW w:w="4387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电器系统的安全性能应符合相应的国家标准</w:t>
            </w:r>
          </w:p>
        </w:tc>
        <w:tc>
          <w:tcPr>
            <w:tcW w:w="1424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URS04-2</w:t>
            </w:r>
          </w:p>
        </w:tc>
        <w:tc>
          <w:tcPr>
            <w:tcW w:w="4387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安全性能符合相关安全标准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URS04-3</w:t>
            </w:r>
          </w:p>
        </w:tc>
        <w:tc>
          <w:tcPr>
            <w:tcW w:w="4387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仪器功能失调或者失效的情况下，必须具备所有必要的保护措施，保证仪器和产品仍然处于一个安全状态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URS04-4</w:t>
            </w:r>
          </w:p>
        </w:tc>
        <w:tc>
          <w:tcPr>
            <w:tcW w:w="4387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电源线路应尽量隐藏于机座内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URS04-5</w:t>
            </w:r>
          </w:p>
        </w:tc>
        <w:tc>
          <w:tcPr>
            <w:tcW w:w="4387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故障检测盒报警提示（断电、缺水、温湿度偏差报警）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URS04-6</w:t>
            </w:r>
          </w:p>
        </w:tc>
        <w:tc>
          <w:tcPr>
            <w:tcW w:w="4387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重新开启动力必须人工操作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URS04-7</w:t>
            </w:r>
          </w:p>
        </w:tc>
        <w:tc>
          <w:tcPr>
            <w:tcW w:w="4387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距离仪器1m远的噪音在53db以下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URS04-8</w:t>
            </w:r>
          </w:p>
        </w:tc>
        <w:tc>
          <w:tcPr>
            <w:tcW w:w="4387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仪器内外表面锐角倒钝处理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</w:tbl>
    <w:p>
      <w:pPr>
        <w:pStyle w:val="66"/>
        <w:spacing w:before="156" w:beforeLines="50" w:after="156" w:afterLines="50" w:line="360" w:lineRule="auto"/>
        <w:ind w:firstLine="0" w:firstLineChars="0"/>
        <w:outlineLvl w:val="1"/>
        <w:rPr>
          <w:rFonts w:ascii="Times New Roman" w:hAnsi="Times New Roman" w:eastAsiaTheme="majorEastAsia"/>
          <w:b/>
          <w:bCs/>
          <w:szCs w:val="21"/>
        </w:rPr>
      </w:pPr>
      <w:bookmarkStart w:id="13" w:name="_Toc374527920"/>
      <w:r>
        <w:rPr>
          <w:rFonts w:ascii="Times New Roman" w:hAnsi="Times New Roman" w:eastAsiaTheme="majorEastAsia"/>
          <w:b/>
          <w:bCs/>
          <w:szCs w:val="21"/>
        </w:rPr>
        <w:t>5.5自控系统要求</w:t>
      </w:r>
      <w:bookmarkEnd w:id="13"/>
    </w:p>
    <w:tbl>
      <w:tblPr>
        <w:tblStyle w:val="23"/>
        <w:tblW w:w="8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4395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序号</w:t>
            </w:r>
          </w:p>
        </w:tc>
        <w:tc>
          <w:tcPr>
            <w:tcW w:w="439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要求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必须或期望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供应商确认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URS05-1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spacing w:line="360" w:lineRule="auto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仪器控制面板分设人工操作和自动运行两种控制模式</w:t>
            </w:r>
          </w:p>
        </w:tc>
        <w:tc>
          <w:tcPr>
            <w:tcW w:w="1417" w:type="dxa"/>
            <w:vAlign w:val="center"/>
          </w:tcPr>
          <w:p>
            <w:pPr>
              <w:pStyle w:val="33"/>
              <w:spacing w:line="360" w:lineRule="auto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URS05-2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主要工艺参数可通过操作界面设定和调整，系统运行状态可实时显示；应设有必要的故障报警提示。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URS05-3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电气控制装置所配元器件的名称、型号、生产厂家等产品信息应齐全、清晰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URS05-4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电气线路布置安装符合法规要求，线号标示齐全、清晰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</w:tbl>
    <w:p>
      <w:pPr>
        <w:pStyle w:val="66"/>
        <w:spacing w:before="156" w:beforeLines="50" w:after="156" w:afterLines="50" w:line="360" w:lineRule="auto"/>
        <w:ind w:firstLine="0" w:firstLineChars="0"/>
        <w:outlineLvl w:val="1"/>
        <w:rPr>
          <w:rFonts w:ascii="Times New Roman" w:hAnsi="Times New Roman" w:eastAsiaTheme="majorEastAsia"/>
          <w:b/>
          <w:bCs/>
          <w:szCs w:val="21"/>
        </w:rPr>
      </w:pPr>
      <w:bookmarkStart w:id="14" w:name="_Toc374527921"/>
      <w:r>
        <w:rPr>
          <w:rFonts w:ascii="Times New Roman" w:hAnsi="Times New Roman" w:eastAsiaTheme="majorEastAsia"/>
          <w:b/>
          <w:bCs/>
          <w:szCs w:val="21"/>
        </w:rPr>
        <w:t>5.6材质及配套附机要求</w:t>
      </w:r>
      <w:bookmarkEnd w:id="14"/>
    </w:p>
    <w:tbl>
      <w:tblPr>
        <w:tblStyle w:val="2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95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序号</w:t>
            </w:r>
          </w:p>
        </w:tc>
        <w:tc>
          <w:tcPr>
            <w:tcW w:w="439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要求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必须或期望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供应商确认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URS06-1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仪器结构合理，应能保证物料与其他部件互不产生污染等</w:t>
            </w:r>
          </w:p>
        </w:tc>
        <w:tc>
          <w:tcPr>
            <w:tcW w:w="1417" w:type="dxa"/>
            <w:vAlign w:val="center"/>
          </w:tcPr>
          <w:p>
            <w:pPr>
              <w:pStyle w:val="33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URS06-2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垫圈、密封圈和O型圈等采用食品级材料制作；且在正常使用情况下，不容易破损及破损后不产生脱落性颗粒，而且要易于拆卸和组装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URS06-3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仪器上使用的任何润滑剂、润滑油应该是食品级、无毒的，润滑油不能喝药物及清洁用水相接触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URS06-4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仪器外部不可有电线或管路外悬。机组任何部位不得有毛边致使人员刮伤的可能性。仪器表面不得有明显刮伤、污损，电路配线端子需配线号及颜色分线的端子套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URS06-5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供方需保证仪器上使用全新未用过的组件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</w:tbl>
    <w:p>
      <w:pPr>
        <w:pStyle w:val="66"/>
        <w:spacing w:before="156" w:beforeLines="50" w:after="156" w:afterLines="50" w:line="360" w:lineRule="auto"/>
        <w:ind w:firstLine="0" w:firstLineChars="0"/>
        <w:outlineLvl w:val="1"/>
        <w:rPr>
          <w:rFonts w:ascii="Times New Roman" w:hAnsi="Times New Roman" w:eastAsiaTheme="majorEastAsia"/>
          <w:b/>
          <w:bCs/>
          <w:szCs w:val="21"/>
        </w:rPr>
      </w:pPr>
      <w:bookmarkStart w:id="15" w:name="_Toc374527922"/>
      <w:r>
        <w:rPr>
          <w:rFonts w:ascii="Times New Roman" w:hAnsi="Times New Roman" w:eastAsiaTheme="majorEastAsia"/>
          <w:b/>
          <w:bCs/>
          <w:szCs w:val="21"/>
        </w:rPr>
        <w:t>5.7所需文件及培训</w:t>
      </w:r>
      <w:bookmarkEnd w:id="15"/>
    </w:p>
    <w:tbl>
      <w:tblPr>
        <w:tblStyle w:val="2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95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序号</w:t>
            </w:r>
          </w:p>
        </w:tc>
        <w:tc>
          <w:tcPr>
            <w:tcW w:w="439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要求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必须或期望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供应商确认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URS07-1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设备手册，手册中应包括设备操作作业指导书、维护、维修作业指导书、清洁作业指导书等相关支持文件。</w:t>
            </w:r>
          </w:p>
        </w:tc>
        <w:tc>
          <w:tcPr>
            <w:tcW w:w="1417" w:type="dxa"/>
            <w:vAlign w:val="center"/>
          </w:tcPr>
          <w:p>
            <w:pPr>
              <w:pStyle w:val="33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URS07-2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 xml:space="preserve">设备出厂测试及检定证书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URS07-3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 xml:space="preserve">所配置部件中原制造商提供的所有技术文件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URS07-4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 xml:space="preserve">易损件及备品备件清单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URS07-5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 xml:space="preserve">合格证、装箱单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URS07-6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 xml:space="preserve">现场培训应包括硬件结构、工作原理、易耗品部件的拆装、更换以及工作站的使用与数据处理方法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</w:tbl>
    <w:p>
      <w:pPr>
        <w:pStyle w:val="66"/>
        <w:spacing w:before="156" w:beforeLines="50" w:after="156" w:afterLines="50" w:line="360" w:lineRule="auto"/>
        <w:ind w:firstLine="0" w:firstLineChars="0"/>
        <w:outlineLvl w:val="1"/>
        <w:rPr>
          <w:rFonts w:ascii="Times New Roman" w:hAnsi="Times New Roman" w:eastAsiaTheme="majorEastAsia"/>
          <w:b/>
          <w:bCs/>
          <w:szCs w:val="21"/>
        </w:rPr>
      </w:pPr>
      <w:bookmarkStart w:id="16" w:name="_Toc374527923"/>
      <w:r>
        <w:rPr>
          <w:rFonts w:ascii="Times New Roman" w:hAnsi="Times New Roman" w:eastAsiaTheme="majorEastAsia"/>
          <w:b/>
          <w:bCs/>
          <w:szCs w:val="21"/>
        </w:rPr>
        <w:t>5.8供应商服务要求</w:t>
      </w:r>
      <w:bookmarkEnd w:id="16"/>
    </w:p>
    <w:tbl>
      <w:tblPr>
        <w:tblStyle w:val="2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95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序号</w:t>
            </w:r>
          </w:p>
        </w:tc>
        <w:tc>
          <w:tcPr>
            <w:tcW w:w="439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要求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必须或期望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供应商确认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URS08-1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供应商负责设备的调试。</w:t>
            </w:r>
          </w:p>
        </w:tc>
        <w:tc>
          <w:tcPr>
            <w:tcW w:w="1417" w:type="dxa"/>
            <w:vAlign w:val="center"/>
          </w:tcPr>
          <w:p>
            <w:pPr>
              <w:pStyle w:val="33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URS08-2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供应商负责对购买方的维修人员及操作人员进行设备的各项培训。</w:t>
            </w:r>
          </w:p>
        </w:tc>
        <w:tc>
          <w:tcPr>
            <w:tcW w:w="1417" w:type="dxa"/>
            <w:vAlign w:val="center"/>
          </w:tcPr>
          <w:p>
            <w:pPr>
              <w:pStyle w:val="33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URS08-3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jc w:val="both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设备自验收合格后一年内为质量保证期，在保证期内，免费维修非人为因素造成的损坏和配件，保证期后应该提供良好的售后服务。</w:t>
            </w:r>
          </w:p>
        </w:tc>
        <w:tc>
          <w:tcPr>
            <w:tcW w:w="1417" w:type="dxa"/>
            <w:vAlign w:val="center"/>
          </w:tcPr>
          <w:p>
            <w:pPr>
              <w:pStyle w:val="33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</w:tbl>
    <w:p>
      <w:pPr>
        <w:spacing w:before="156" w:beforeLines="50" w:line="360" w:lineRule="auto"/>
        <w:rPr>
          <w:rFonts w:ascii="Times New Roman" w:hAnsi="Times New Roman" w:cs="Times New Roman" w:eastAsiaTheme="majorEastAsia"/>
          <w:b/>
          <w:bCs/>
          <w:szCs w:val="21"/>
        </w:rPr>
      </w:pPr>
      <w:r>
        <w:rPr>
          <w:rFonts w:ascii="Times New Roman" w:hAnsi="Times New Roman" w:cs="Times New Roman" w:eastAsiaTheme="majorEastAsia"/>
          <w:b/>
          <w:bCs/>
          <w:szCs w:val="21"/>
        </w:rPr>
        <w:t>5.9配置要求</w:t>
      </w:r>
    </w:p>
    <w:tbl>
      <w:tblPr>
        <w:tblStyle w:val="2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395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序号</w:t>
            </w:r>
          </w:p>
        </w:tc>
        <w:tc>
          <w:tcPr>
            <w:tcW w:w="439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要求</w:t>
            </w: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必须或期望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供应商确认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URS09-1</w:t>
            </w:r>
          </w:p>
        </w:tc>
        <w:tc>
          <w:tcPr>
            <w:tcW w:w="4395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主机</w:t>
            </w:r>
            <w:r>
              <w:rPr>
                <w:rFonts w:hint="eastAsia" w:ascii="Times New Roman" w:hAnsi="Times New Roman" w:cs="Times New Roman" w:eastAsiaTheme="majorEastAsia"/>
                <w:szCs w:val="21"/>
              </w:rPr>
              <w:t>3</w:t>
            </w:r>
            <w:r>
              <w:rPr>
                <w:rFonts w:ascii="Times New Roman" w:hAnsi="Times New Roman" w:cs="Times New Roman" w:eastAsiaTheme="majorEastAsia"/>
                <w:szCs w:val="21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pStyle w:val="33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URS09-3</w:t>
            </w:r>
          </w:p>
        </w:tc>
        <w:tc>
          <w:tcPr>
            <w:tcW w:w="4395" w:type="dxa"/>
            <w:vAlign w:val="center"/>
          </w:tcPr>
          <w:p>
            <w:pPr>
              <w:pStyle w:val="33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需提供复合法规要求的3Q认证及文件</w:t>
            </w:r>
          </w:p>
        </w:tc>
        <w:tc>
          <w:tcPr>
            <w:tcW w:w="1417" w:type="dxa"/>
            <w:vAlign w:val="center"/>
          </w:tcPr>
          <w:p>
            <w:pPr>
              <w:pStyle w:val="33"/>
              <w:jc w:val="center"/>
              <w:rPr>
                <w:rFonts w:ascii="Times New Roman" w:cs="Times New Roman" w:eastAsiaTheme="majorEastAsia"/>
                <w:sz w:val="21"/>
                <w:szCs w:val="21"/>
              </w:rPr>
            </w:pPr>
            <w:r>
              <w:rPr>
                <w:rFonts w:ascii="Times New Roman" w:cs="Times New Roman" w:eastAsiaTheme="majorEastAsia"/>
                <w:sz w:val="21"/>
                <w:szCs w:val="21"/>
              </w:rPr>
              <w:t>必需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</w:p>
        </w:tc>
      </w:tr>
    </w:tbl>
    <w:p>
      <w:pPr>
        <w:pStyle w:val="2"/>
        <w:rPr>
          <w:rFonts w:ascii="Times New Roman" w:cs="Times New Roman"/>
        </w:rPr>
      </w:pPr>
      <w:bookmarkStart w:id="17" w:name="_Toc29023_WPSOffice_Level2"/>
      <w:bookmarkStart w:id="18" w:name="_Toc81309235"/>
      <w:r>
        <w:rPr>
          <w:rFonts w:hint="eastAsia" w:ascii="Times New Roman" w:cs="Times New Roman"/>
        </w:rPr>
        <w:t xml:space="preserve">六 </w:t>
      </w:r>
      <w:r>
        <w:rPr>
          <w:rFonts w:ascii="Times New Roman" w:cs="Times New Roman"/>
        </w:rPr>
        <w:t>供货要求</w:t>
      </w:r>
      <w:bookmarkEnd w:id="17"/>
      <w:bookmarkEnd w:id="18"/>
    </w:p>
    <w:p>
      <w:pPr>
        <w:widowControl/>
        <w:ind w:left="402"/>
        <w:jc w:val="left"/>
        <w:rPr>
          <w:rFonts w:ascii="Times New Roman" w:hAnsi="Times New Roman" w:cs="Times New Roman" w:eastAsiaTheme="majorEastAsia"/>
          <w:bCs/>
          <w:szCs w:val="21"/>
        </w:rPr>
      </w:pPr>
      <w:bookmarkStart w:id="19" w:name="_Toc2870_WPSOffice_Level1"/>
      <w:bookmarkStart w:id="20" w:name="_Toc5020_WPSOffice_Level1"/>
      <w:bookmarkStart w:id="21" w:name="_Toc22456_WPSOffice_Level1"/>
      <w:r>
        <w:rPr>
          <w:rFonts w:ascii="Times New Roman" w:hAnsi="Times New Roman" w:cs="Times New Roman" w:eastAsiaTheme="majorEastAsia"/>
          <w:bCs/>
          <w:szCs w:val="21"/>
        </w:rPr>
        <w:t>采购数量：3台</w:t>
      </w:r>
      <w:bookmarkEnd w:id="19"/>
      <w:bookmarkEnd w:id="20"/>
      <w:bookmarkEnd w:id="21"/>
    </w:p>
    <w:p>
      <w:pPr>
        <w:widowControl/>
        <w:ind w:left="402"/>
        <w:jc w:val="left"/>
        <w:rPr>
          <w:rFonts w:ascii="Times New Roman" w:hAnsi="Times New Roman" w:cs="Times New Roman" w:eastAsiaTheme="majorEastAsia"/>
          <w:bCs/>
          <w:szCs w:val="21"/>
        </w:rPr>
      </w:pPr>
      <w:bookmarkStart w:id="22" w:name="_Toc24225_WPSOffice_Level1"/>
      <w:bookmarkStart w:id="23" w:name="_Toc15784_WPSOffice_Level1"/>
      <w:bookmarkStart w:id="24" w:name="_Toc4416_WPSOffice_Level1"/>
      <w:r>
        <w:rPr>
          <w:rFonts w:ascii="Times New Roman" w:hAnsi="Times New Roman" w:cs="Times New Roman" w:eastAsiaTheme="majorEastAsia"/>
          <w:bCs/>
          <w:szCs w:val="21"/>
        </w:rPr>
        <w:t>交付地点：上海市采购方指定场地。</w:t>
      </w:r>
      <w:bookmarkEnd w:id="22"/>
      <w:bookmarkEnd w:id="23"/>
      <w:bookmarkEnd w:id="24"/>
    </w:p>
    <w:p>
      <w:pPr>
        <w:widowControl/>
        <w:ind w:left="402"/>
        <w:jc w:val="left"/>
        <w:rPr>
          <w:rFonts w:ascii="Times New Roman" w:hAnsi="Times New Roman" w:cs="Times New Roman" w:eastAsiaTheme="majorEastAsia"/>
          <w:bCs/>
          <w:szCs w:val="21"/>
        </w:rPr>
      </w:pPr>
      <w:bookmarkStart w:id="25" w:name="_Toc2356_WPSOffice_Level1"/>
      <w:bookmarkStart w:id="26" w:name="_Toc14344_WPSOffice_Level1"/>
      <w:bookmarkStart w:id="27" w:name="_Toc12358_WPSOffice_Level1"/>
      <w:r>
        <w:rPr>
          <w:rFonts w:ascii="Times New Roman" w:hAnsi="Times New Roman" w:cs="Times New Roman" w:eastAsiaTheme="majorEastAsia"/>
          <w:bCs/>
          <w:szCs w:val="21"/>
        </w:rPr>
        <w:t>交货时间：合同签订后</w:t>
      </w:r>
      <w:r>
        <w:rPr>
          <w:rFonts w:hint="eastAsia" w:ascii="Times New Roman" w:hAnsi="Times New Roman" w:cs="Times New Roman" w:eastAsiaTheme="majorEastAsia"/>
          <w:bCs/>
          <w:szCs w:val="21"/>
        </w:rPr>
        <w:t>1</w:t>
      </w:r>
      <w:r>
        <w:rPr>
          <w:rFonts w:ascii="Times New Roman" w:hAnsi="Times New Roman" w:cs="Times New Roman" w:eastAsiaTheme="majorEastAsia"/>
          <w:bCs/>
          <w:szCs w:val="21"/>
        </w:rPr>
        <w:t>个月</w:t>
      </w:r>
      <w:bookmarkEnd w:id="25"/>
      <w:bookmarkEnd w:id="26"/>
      <w:bookmarkEnd w:id="27"/>
      <w:r>
        <w:rPr>
          <w:rFonts w:ascii="Times New Roman" w:hAnsi="Times New Roman" w:cs="Times New Roman" w:eastAsiaTheme="majorEastAsia"/>
          <w:bCs/>
          <w:szCs w:val="21"/>
        </w:rPr>
        <w:t>。</w:t>
      </w:r>
    </w:p>
    <w:tbl>
      <w:tblPr>
        <w:tblStyle w:val="23"/>
        <w:tblW w:w="0" w:type="auto"/>
        <w:tblInd w:w="-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6841"/>
        <w:gridCol w:w="11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87" w:type="dxa"/>
            <w:shd w:val="clear" w:color="auto" w:fill="C0C0C0"/>
            <w:vAlign w:val="center"/>
          </w:tcPr>
          <w:p>
            <w:pPr>
              <w:pStyle w:val="69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 w:line="360" w:lineRule="auto"/>
              <w:jc w:val="center"/>
              <w:rPr>
                <w:rFonts w:ascii="宋体" w:hAnsi="宋体"/>
                <w:b w:val="0"/>
                <w:bCs/>
                <w:cap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b w:val="0"/>
                <w:bCs/>
                <w:caps w:val="0"/>
                <w:kern w:val="2"/>
                <w:sz w:val="21"/>
                <w:szCs w:val="21"/>
                <w:lang w:val="en-US" w:eastAsia="zh-CN"/>
              </w:rPr>
              <w:t>需求编号</w:t>
            </w:r>
          </w:p>
        </w:tc>
        <w:tc>
          <w:tcPr>
            <w:tcW w:w="6841" w:type="dxa"/>
            <w:shd w:val="clear" w:color="auto" w:fill="C0C0C0"/>
            <w:vAlign w:val="center"/>
          </w:tcPr>
          <w:p>
            <w:pPr>
              <w:pStyle w:val="69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 w:line="360" w:lineRule="auto"/>
              <w:jc w:val="center"/>
              <w:rPr>
                <w:rFonts w:ascii="宋体" w:hAnsi="宋体"/>
                <w:b w:val="0"/>
                <w:bCs/>
                <w:cap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b w:val="0"/>
                <w:bCs/>
                <w:caps w:val="0"/>
                <w:kern w:val="2"/>
                <w:sz w:val="21"/>
                <w:szCs w:val="21"/>
                <w:lang w:val="en-US" w:eastAsia="zh-CN"/>
              </w:rPr>
              <w:t>需求</w:t>
            </w:r>
          </w:p>
        </w:tc>
        <w:tc>
          <w:tcPr>
            <w:tcW w:w="1197" w:type="dxa"/>
            <w:shd w:val="clear" w:color="auto" w:fill="C0C0C0"/>
            <w:vAlign w:val="center"/>
          </w:tcPr>
          <w:p>
            <w:pPr>
              <w:pStyle w:val="69"/>
              <w:tabs>
                <w:tab w:val="center" w:pos="2268"/>
                <w:tab w:val="right" w:pos="5387"/>
                <w:tab w:val="clear" w:pos="4820"/>
                <w:tab w:val="clear" w:pos="9639"/>
              </w:tabs>
              <w:spacing w:before="0" w:after="0" w:line="360" w:lineRule="auto"/>
              <w:ind w:left="-108" w:right="-98"/>
              <w:jc w:val="center"/>
              <w:rPr>
                <w:rFonts w:ascii="宋体" w:hAnsi="宋体"/>
                <w:b w:val="0"/>
                <w:bCs/>
                <w:cap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b w:val="0"/>
                <w:bCs/>
                <w:caps w:val="0"/>
                <w:kern w:val="2"/>
                <w:sz w:val="21"/>
                <w:szCs w:val="21"/>
                <w:lang w:val="en-US" w:eastAsia="zh-CN"/>
              </w:rPr>
              <w:t>必需/期望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187" w:type="dxa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宋体" w:hAnsi="宋体"/>
                <w:b w:val="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1" w:type="dxa"/>
            <w:vAlign w:val="center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bidi="ar"/>
              </w:rPr>
              <w:t>合同签订后，支付30%合同款。设备到货后安装、调试、验收，正常运行3个批次以上或验收合格14天内，在收到供应商5%的质量保证金及款项发票后，支付剩余70%合同款。质保期满14天内，无息归还质保金。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/>
                <w:b w:val="0"/>
                <w:sz w:val="21"/>
                <w:szCs w:val="21"/>
              </w:rPr>
              <w:t>必需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187" w:type="dxa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宋体" w:hAnsi="宋体"/>
                <w:b w:val="0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1" w:type="dxa"/>
            <w:vAlign w:val="center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val="en-US" w:bidi="ar"/>
              </w:rPr>
              <w:t>设备质保期：1年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/>
                <w:b w:val="0"/>
                <w:sz w:val="21"/>
                <w:szCs w:val="21"/>
              </w:rPr>
              <w:t>必需</w:t>
            </w:r>
          </w:p>
        </w:tc>
      </w:tr>
    </w:tbl>
    <w:p>
      <w:pPr>
        <w:widowControl/>
        <w:ind w:left="402"/>
        <w:jc w:val="left"/>
        <w:rPr>
          <w:rFonts w:ascii="Times New Roman" w:hAnsi="Times New Roman" w:cs="Times New Roman" w:eastAsiaTheme="majorEastAsia"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72229"/>
    </w:sdtPr>
    <w:sdtEndPr>
      <w:rPr>
        <w:rFonts w:ascii="Times New Roman" w:hAnsi="Times New Roman" w:cs="Times New Roman"/>
        <w:sz w:val="21"/>
        <w:szCs w:val="21"/>
      </w:rPr>
    </w:sdtEndPr>
    <w:sdtContent>
      <w:sdt>
        <w:sdtPr>
          <w:id w:val="171357217"/>
        </w:sdtPr>
        <w:sdtEndPr>
          <w:rPr>
            <w:rFonts w:ascii="Times New Roman" w:hAnsi="Times New Roman" w:cs="Times New Roman"/>
            <w:sz w:val="21"/>
            <w:szCs w:val="21"/>
          </w:rPr>
        </w:sdtEndPr>
        <w:sdtContent>
          <w:p>
            <w:pPr>
              <w:pStyle w:val="16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1"/>
                <w:szCs w:val="21"/>
                <w:lang w:val="zh-CN"/>
              </w:rPr>
              <w:t>第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PAGE</w:instrTex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cs="Times New Roman"/>
                <w:sz w:val="21"/>
                <w:szCs w:val="21"/>
              </w:rPr>
              <w:t>页</w:t>
            </w:r>
            <w:r>
              <w:rPr>
                <w:rFonts w:hint="eastAsia" w:asci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/>
                <w:sz w:val="21"/>
                <w:szCs w:val="21"/>
              </w:rPr>
              <w:t>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NUMPAGES</w:instrTex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cs="Times New Roman"/>
                <w:sz w:val="21"/>
                <w:szCs w:val="21"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3"/>
      <w:tblW w:w="0" w:type="auto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08"/>
      <w:gridCol w:w="1083"/>
      <w:gridCol w:w="5894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13" w:hRule="atLeast"/>
      </w:trPr>
      <w:tc>
        <w:tcPr>
          <w:tcW w:w="1908" w:type="dxa"/>
          <w:vMerge w:val="restart"/>
          <w:shd w:val="clear" w:color="auto" w:fill="auto"/>
          <w:vAlign w:val="center"/>
        </w:tcPr>
        <w:p>
          <w:pPr>
            <w:jc w:val="center"/>
            <w:rPr>
              <w:sz w:val="28"/>
              <w:szCs w:val="28"/>
              <w:lang w:val="de-DE"/>
            </w:rPr>
          </w:pPr>
        </w:p>
      </w:tc>
      <w:tc>
        <w:tcPr>
          <w:tcW w:w="6977" w:type="dxa"/>
          <w:gridSpan w:val="2"/>
          <w:shd w:val="clear" w:color="auto" w:fill="auto"/>
          <w:vAlign w:val="center"/>
        </w:tcPr>
        <w:p>
          <w:pPr>
            <w:ind w:left="-2" w:leftChars="-51" w:hanging="105" w:hangingChars="35"/>
            <w:jc w:val="center"/>
            <w:rPr>
              <w:rFonts w:ascii="Times New Roman" w:hAnsi="Times New Roman" w:cs="Times New Roman"/>
              <w:bCs/>
              <w:sz w:val="30"/>
              <w:szCs w:val="30"/>
            </w:rPr>
          </w:pPr>
          <w:r>
            <w:rPr>
              <w:rFonts w:ascii="Times New Roman" w:hAnsi="Times New Roman" w:cs="Times New Roman"/>
              <w:bCs/>
              <w:sz w:val="30"/>
              <w:szCs w:val="30"/>
            </w:rPr>
            <w:t>User Requirement Specifications</w:t>
          </w:r>
        </w:p>
        <w:p>
          <w:pPr>
            <w:ind w:left="-2" w:leftChars="-51" w:hanging="105" w:hangingChars="35"/>
            <w:jc w:val="center"/>
            <w:rPr>
              <w:rFonts w:ascii="Times New Roman" w:hAnsi="Times New Roman" w:cs="Times New Roman"/>
              <w:bCs/>
              <w:sz w:val="30"/>
              <w:szCs w:val="30"/>
            </w:rPr>
          </w:pPr>
          <w:r>
            <w:rPr>
              <w:rFonts w:ascii="Times New Roman" w:hAnsi="Times New Roman" w:cs="Times New Roman"/>
              <w:bCs/>
              <w:sz w:val="30"/>
              <w:szCs w:val="30"/>
            </w:rPr>
            <w:t>用户技术要求书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98" w:hRule="atLeast"/>
      </w:trPr>
      <w:tc>
        <w:tcPr>
          <w:tcW w:w="1908" w:type="dxa"/>
          <w:vMerge w:val="continue"/>
          <w:shd w:val="clear" w:color="auto" w:fill="auto"/>
        </w:tcPr>
        <w:p/>
      </w:tc>
      <w:tc>
        <w:tcPr>
          <w:tcW w:w="1083" w:type="dxa"/>
          <w:shd w:val="clear" w:color="auto" w:fill="auto"/>
        </w:tcPr>
        <w:p>
          <w:pPr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Subject主題</w:t>
          </w:r>
        </w:p>
      </w:tc>
      <w:tc>
        <w:tcPr>
          <w:tcW w:w="5894" w:type="dxa"/>
          <w:shd w:val="clear" w:color="auto" w:fill="auto"/>
          <w:vAlign w:val="center"/>
        </w:tcPr>
        <w:p>
          <w:pPr>
            <w:widowControl/>
            <w:spacing w:line="500" w:lineRule="exact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hint="eastAsia" w:ascii="Times New Roman" w:hAnsi="Times New Roman" w:cs="Times New Roman"/>
              <w:bCs/>
              <w:sz w:val="24"/>
              <w:szCs w:val="24"/>
            </w:rPr>
            <w:t>恒温恒湿箱用户需求标准说明</w:t>
          </w:r>
        </w:p>
      </w:tc>
    </w:tr>
  </w:tbl>
  <w:p>
    <w:pPr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51CC94"/>
    <w:multiLevelType w:val="multilevel"/>
    <w:tmpl w:val="CF51CC94"/>
    <w:lvl w:ilvl="0" w:tentative="0">
      <w:start w:val="1"/>
      <w:numFmt w:val="decimal"/>
      <w:lvlText w:val="URS-%1"/>
      <w:lvlJc w:val="left"/>
      <w:pPr>
        <w:ind w:left="420" w:hanging="420"/>
      </w:pPr>
      <w:rPr>
        <w:rFonts w:hint="default" w:ascii="Times New Roman" w:hAnsi="Times New Roman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8F"/>
    <w:rsid w:val="00006A71"/>
    <w:rsid w:val="00036ECE"/>
    <w:rsid w:val="00040041"/>
    <w:rsid w:val="00041942"/>
    <w:rsid w:val="00045F4D"/>
    <w:rsid w:val="0005522C"/>
    <w:rsid w:val="00055F69"/>
    <w:rsid w:val="0006634A"/>
    <w:rsid w:val="0008782B"/>
    <w:rsid w:val="000A560B"/>
    <w:rsid w:val="000A6ADF"/>
    <w:rsid w:val="000B0812"/>
    <w:rsid w:val="000B09AA"/>
    <w:rsid w:val="000B0EAC"/>
    <w:rsid w:val="000B4964"/>
    <w:rsid w:val="000B6B1A"/>
    <w:rsid w:val="000C3138"/>
    <w:rsid w:val="000C58B1"/>
    <w:rsid w:val="000E3BFD"/>
    <w:rsid w:val="000F4C5E"/>
    <w:rsid w:val="00100266"/>
    <w:rsid w:val="001006DA"/>
    <w:rsid w:val="001115B0"/>
    <w:rsid w:val="00113A9A"/>
    <w:rsid w:val="00113AC6"/>
    <w:rsid w:val="0013119B"/>
    <w:rsid w:val="00135002"/>
    <w:rsid w:val="00157435"/>
    <w:rsid w:val="001577B4"/>
    <w:rsid w:val="00167606"/>
    <w:rsid w:val="001A3C24"/>
    <w:rsid w:val="001A538B"/>
    <w:rsid w:val="001A7C2C"/>
    <w:rsid w:val="001D7A41"/>
    <w:rsid w:val="001E18F7"/>
    <w:rsid w:val="001E6BAA"/>
    <w:rsid w:val="001F0256"/>
    <w:rsid w:val="001F1C45"/>
    <w:rsid w:val="00212472"/>
    <w:rsid w:val="00216D21"/>
    <w:rsid w:val="0022024B"/>
    <w:rsid w:val="00225236"/>
    <w:rsid w:val="00232B2C"/>
    <w:rsid w:val="0024574B"/>
    <w:rsid w:val="0024580E"/>
    <w:rsid w:val="0027447B"/>
    <w:rsid w:val="0028476B"/>
    <w:rsid w:val="002A6A02"/>
    <w:rsid w:val="002C2874"/>
    <w:rsid w:val="002C42E8"/>
    <w:rsid w:val="002C665C"/>
    <w:rsid w:val="002D4A29"/>
    <w:rsid w:val="002E35A6"/>
    <w:rsid w:val="002F76DB"/>
    <w:rsid w:val="003113A1"/>
    <w:rsid w:val="00311DF7"/>
    <w:rsid w:val="003179AD"/>
    <w:rsid w:val="00324313"/>
    <w:rsid w:val="00341579"/>
    <w:rsid w:val="00375A07"/>
    <w:rsid w:val="00386073"/>
    <w:rsid w:val="00395032"/>
    <w:rsid w:val="00395EE9"/>
    <w:rsid w:val="003A7F29"/>
    <w:rsid w:val="003B7999"/>
    <w:rsid w:val="003C5622"/>
    <w:rsid w:val="003D3B5E"/>
    <w:rsid w:val="003D7C0C"/>
    <w:rsid w:val="00404CEF"/>
    <w:rsid w:val="00407685"/>
    <w:rsid w:val="0041263C"/>
    <w:rsid w:val="00412AD7"/>
    <w:rsid w:val="00415808"/>
    <w:rsid w:val="00430B2D"/>
    <w:rsid w:val="00433AE6"/>
    <w:rsid w:val="00434FCF"/>
    <w:rsid w:val="00437643"/>
    <w:rsid w:val="00441B57"/>
    <w:rsid w:val="004512E4"/>
    <w:rsid w:val="004605DB"/>
    <w:rsid w:val="00474C56"/>
    <w:rsid w:val="00477BA9"/>
    <w:rsid w:val="00493C2C"/>
    <w:rsid w:val="0049498D"/>
    <w:rsid w:val="004B5089"/>
    <w:rsid w:val="004E17AC"/>
    <w:rsid w:val="004E7D3B"/>
    <w:rsid w:val="004F5EC8"/>
    <w:rsid w:val="004F75F3"/>
    <w:rsid w:val="00514035"/>
    <w:rsid w:val="005411BA"/>
    <w:rsid w:val="00547120"/>
    <w:rsid w:val="00554196"/>
    <w:rsid w:val="0055598D"/>
    <w:rsid w:val="00563B88"/>
    <w:rsid w:val="00563EF4"/>
    <w:rsid w:val="005665C2"/>
    <w:rsid w:val="00577BE8"/>
    <w:rsid w:val="00591029"/>
    <w:rsid w:val="005A2475"/>
    <w:rsid w:val="005A67D6"/>
    <w:rsid w:val="005B0974"/>
    <w:rsid w:val="005B315E"/>
    <w:rsid w:val="005B6965"/>
    <w:rsid w:val="005D547B"/>
    <w:rsid w:val="005D5DB7"/>
    <w:rsid w:val="005E2E1F"/>
    <w:rsid w:val="005F5276"/>
    <w:rsid w:val="00617DFD"/>
    <w:rsid w:val="00622982"/>
    <w:rsid w:val="0064329D"/>
    <w:rsid w:val="00644D30"/>
    <w:rsid w:val="00646CFA"/>
    <w:rsid w:val="006551BC"/>
    <w:rsid w:val="006757B1"/>
    <w:rsid w:val="0068490D"/>
    <w:rsid w:val="006C7C9B"/>
    <w:rsid w:val="006E6B1D"/>
    <w:rsid w:val="006F72C2"/>
    <w:rsid w:val="00755C5D"/>
    <w:rsid w:val="00781324"/>
    <w:rsid w:val="00793609"/>
    <w:rsid w:val="0079562B"/>
    <w:rsid w:val="007B2FC2"/>
    <w:rsid w:val="007C158F"/>
    <w:rsid w:val="007D58A5"/>
    <w:rsid w:val="007E09CF"/>
    <w:rsid w:val="007E4C27"/>
    <w:rsid w:val="007F1E21"/>
    <w:rsid w:val="007F2100"/>
    <w:rsid w:val="008023A3"/>
    <w:rsid w:val="008061F6"/>
    <w:rsid w:val="00827EE5"/>
    <w:rsid w:val="00831B23"/>
    <w:rsid w:val="008435F7"/>
    <w:rsid w:val="0084391D"/>
    <w:rsid w:val="00847F75"/>
    <w:rsid w:val="00855486"/>
    <w:rsid w:val="00861A01"/>
    <w:rsid w:val="008721F7"/>
    <w:rsid w:val="008821C2"/>
    <w:rsid w:val="00882946"/>
    <w:rsid w:val="008868D8"/>
    <w:rsid w:val="00886920"/>
    <w:rsid w:val="008A3E7F"/>
    <w:rsid w:val="008B0E31"/>
    <w:rsid w:val="008B3667"/>
    <w:rsid w:val="008D09C0"/>
    <w:rsid w:val="008D182B"/>
    <w:rsid w:val="008E0B86"/>
    <w:rsid w:val="009124D2"/>
    <w:rsid w:val="00912ACB"/>
    <w:rsid w:val="009219B9"/>
    <w:rsid w:val="00934388"/>
    <w:rsid w:val="00937C0F"/>
    <w:rsid w:val="00950DE8"/>
    <w:rsid w:val="009607CC"/>
    <w:rsid w:val="00980EA7"/>
    <w:rsid w:val="009837A9"/>
    <w:rsid w:val="009B33CA"/>
    <w:rsid w:val="009E0064"/>
    <w:rsid w:val="009E4059"/>
    <w:rsid w:val="009F3D06"/>
    <w:rsid w:val="009F4026"/>
    <w:rsid w:val="009F425B"/>
    <w:rsid w:val="009F7743"/>
    <w:rsid w:val="00A032DB"/>
    <w:rsid w:val="00A05B6D"/>
    <w:rsid w:val="00A13609"/>
    <w:rsid w:val="00A16B31"/>
    <w:rsid w:val="00A27040"/>
    <w:rsid w:val="00A54DD2"/>
    <w:rsid w:val="00A60980"/>
    <w:rsid w:val="00A6740E"/>
    <w:rsid w:val="00A67C43"/>
    <w:rsid w:val="00A83885"/>
    <w:rsid w:val="00AA0536"/>
    <w:rsid w:val="00AA2346"/>
    <w:rsid w:val="00AA5A17"/>
    <w:rsid w:val="00AC1E18"/>
    <w:rsid w:val="00AF726F"/>
    <w:rsid w:val="00B03E49"/>
    <w:rsid w:val="00B06FC1"/>
    <w:rsid w:val="00B1106C"/>
    <w:rsid w:val="00B120FA"/>
    <w:rsid w:val="00B15D61"/>
    <w:rsid w:val="00B176B6"/>
    <w:rsid w:val="00B221D5"/>
    <w:rsid w:val="00B267EB"/>
    <w:rsid w:val="00B34CA2"/>
    <w:rsid w:val="00B353C3"/>
    <w:rsid w:val="00B512B9"/>
    <w:rsid w:val="00B60972"/>
    <w:rsid w:val="00B83036"/>
    <w:rsid w:val="00B873FA"/>
    <w:rsid w:val="00B9781D"/>
    <w:rsid w:val="00BB3355"/>
    <w:rsid w:val="00BB74D2"/>
    <w:rsid w:val="00BC4E86"/>
    <w:rsid w:val="00BC5939"/>
    <w:rsid w:val="00BF4613"/>
    <w:rsid w:val="00C0261D"/>
    <w:rsid w:val="00C03111"/>
    <w:rsid w:val="00C10A15"/>
    <w:rsid w:val="00C146D2"/>
    <w:rsid w:val="00C22BEB"/>
    <w:rsid w:val="00C23E4E"/>
    <w:rsid w:val="00C352A8"/>
    <w:rsid w:val="00C41175"/>
    <w:rsid w:val="00C41EA5"/>
    <w:rsid w:val="00C63F98"/>
    <w:rsid w:val="00C66724"/>
    <w:rsid w:val="00C7223A"/>
    <w:rsid w:val="00C9349D"/>
    <w:rsid w:val="00CA2A58"/>
    <w:rsid w:val="00CB060A"/>
    <w:rsid w:val="00CC0311"/>
    <w:rsid w:val="00CC6301"/>
    <w:rsid w:val="00CC6A34"/>
    <w:rsid w:val="00CC709F"/>
    <w:rsid w:val="00CC7D98"/>
    <w:rsid w:val="00CE117A"/>
    <w:rsid w:val="00D01432"/>
    <w:rsid w:val="00D124D2"/>
    <w:rsid w:val="00D24850"/>
    <w:rsid w:val="00D27EFB"/>
    <w:rsid w:val="00D358F3"/>
    <w:rsid w:val="00D44866"/>
    <w:rsid w:val="00D448C7"/>
    <w:rsid w:val="00D44E17"/>
    <w:rsid w:val="00D51209"/>
    <w:rsid w:val="00D57B2B"/>
    <w:rsid w:val="00D64EEF"/>
    <w:rsid w:val="00D657B4"/>
    <w:rsid w:val="00D74A3C"/>
    <w:rsid w:val="00D76324"/>
    <w:rsid w:val="00D77841"/>
    <w:rsid w:val="00D84502"/>
    <w:rsid w:val="00D90BE8"/>
    <w:rsid w:val="00DB6389"/>
    <w:rsid w:val="00DB7A38"/>
    <w:rsid w:val="00DD23A7"/>
    <w:rsid w:val="00DD3131"/>
    <w:rsid w:val="00DE4AF7"/>
    <w:rsid w:val="00DE62A4"/>
    <w:rsid w:val="00DF706D"/>
    <w:rsid w:val="00E158B2"/>
    <w:rsid w:val="00E274E6"/>
    <w:rsid w:val="00E2782C"/>
    <w:rsid w:val="00E33BDF"/>
    <w:rsid w:val="00E47A7D"/>
    <w:rsid w:val="00E505DB"/>
    <w:rsid w:val="00E646B4"/>
    <w:rsid w:val="00E76AA9"/>
    <w:rsid w:val="00E8290D"/>
    <w:rsid w:val="00E97D76"/>
    <w:rsid w:val="00EB3983"/>
    <w:rsid w:val="00EB6E23"/>
    <w:rsid w:val="00ED6FC0"/>
    <w:rsid w:val="00EE3E41"/>
    <w:rsid w:val="00EE62F6"/>
    <w:rsid w:val="00F02523"/>
    <w:rsid w:val="00F0392E"/>
    <w:rsid w:val="00F322D5"/>
    <w:rsid w:val="00F416AB"/>
    <w:rsid w:val="00F600FB"/>
    <w:rsid w:val="00F62EAA"/>
    <w:rsid w:val="00F65CF2"/>
    <w:rsid w:val="00F76D69"/>
    <w:rsid w:val="00FA320E"/>
    <w:rsid w:val="00FA69CB"/>
    <w:rsid w:val="00FC4B22"/>
    <w:rsid w:val="00FD11C3"/>
    <w:rsid w:val="00FD5B4D"/>
    <w:rsid w:val="00FE42B6"/>
    <w:rsid w:val="00FE5C8A"/>
    <w:rsid w:val="030C3D04"/>
    <w:rsid w:val="043651E4"/>
    <w:rsid w:val="06BD1849"/>
    <w:rsid w:val="08681C59"/>
    <w:rsid w:val="09A23BE7"/>
    <w:rsid w:val="0BD42B03"/>
    <w:rsid w:val="0BF97C94"/>
    <w:rsid w:val="0D350F37"/>
    <w:rsid w:val="0FE37698"/>
    <w:rsid w:val="10F74F6E"/>
    <w:rsid w:val="130710D8"/>
    <w:rsid w:val="15427403"/>
    <w:rsid w:val="15D177C5"/>
    <w:rsid w:val="1D3C7DB9"/>
    <w:rsid w:val="1E070CD5"/>
    <w:rsid w:val="1E2318F7"/>
    <w:rsid w:val="1E711EAD"/>
    <w:rsid w:val="1FDD6E3D"/>
    <w:rsid w:val="20137DAB"/>
    <w:rsid w:val="22B84EEB"/>
    <w:rsid w:val="2B7E683F"/>
    <w:rsid w:val="2CEF7635"/>
    <w:rsid w:val="2DDA3490"/>
    <w:rsid w:val="2FEE1E1C"/>
    <w:rsid w:val="302508E3"/>
    <w:rsid w:val="387D788B"/>
    <w:rsid w:val="388B04DD"/>
    <w:rsid w:val="391467BD"/>
    <w:rsid w:val="3B135132"/>
    <w:rsid w:val="3DEC2165"/>
    <w:rsid w:val="40B71955"/>
    <w:rsid w:val="41296D80"/>
    <w:rsid w:val="424A4B42"/>
    <w:rsid w:val="44094C5F"/>
    <w:rsid w:val="4A1A3F83"/>
    <w:rsid w:val="4A396903"/>
    <w:rsid w:val="4B275A9D"/>
    <w:rsid w:val="4BE931C8"/>
    <w:rsid w:val="4F554B76"/>
    <w:rsid w:val="52E1780C"/>
    <w:rsid w:val="536A47A0"/>
    <w:rsid w:val="5A493ABE"/>
    <w:rsid w:val="5C2109BB"/>
    <w:rsid w:val="62027AD3"/>
    <w:rsid w:val="6442371F"/>
    <w:rsid w:val="692E41C6"/>
    <w:rsid w:val="6D1C22F2"/>
    <w:rsid w:val="6D3B5762"/>
    <w:rsid w:val="703300EC"/>
    <w:rsid w:val="70AF2C53"/>
    <w:rsid w:val="71832DF3"/>
    <w:rsid w:val="71B33E5D"/>
    <w:rsid w:val="757024B5"/>
    <w:rsid w:val="77065065"/>
    <w:rsid w:val="77ED2F0D"/>
    <w:rsid w:val="7B3B7D3D"/>
    <w:rsid w:val="7E4D04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9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99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9"/>
    <w:pPr>
      <w:keepNext/>
      <w:keepLines/>
      <w:spacing w:line="500" w:lineRule="exact"/>
      <w:jc w:val="left"/>
      <w:outlineLvl w:val="0"/>
    </w:pPr>
    <w:rPr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25">
    <w:name w:val="Default Paragraph Font"/>
    <w:semiHidden/>
    <w:unhideWhenUsed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73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 w:eastAsia="宋体" w:cs="Times New Roman"/>
      <w:kern w:val="0"/>
      <w:sz w:val="34"/>
      <w:szCs w:val="20"/>
    </w:rPr>
  </w:style>
  <w:style w:type="paragraph" w:styleId="6">
    <w:name w:val="annotation text"/>
    <w:basedOn w:val="1"/>
    <w:link w:val="39"/>
    <w:qFormat/>
    <w:uiPriority w:val="99"/>
    <w:pPr>
      <w:jc w:val="left"/>
    </w:pPr>
    <w:rPr>
      <w:szCs w:val="24"/>
    </w:rPr>
  </w:style>
  <w:style w:type="paragraph" w:styleId="7">
    <w:name w:val="Body Text"/>
    <w:basedOn w:val="1"/>
    <w:link w:val="54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8">
    <w:name w:val="Body Text Indent"/>
    <w:basedOn w:val="1"/>
    <w:link w:val="51"/>
    <w:qFormat/>
    <w:uiPriority w:val="99"/>
    <w:pPr>
      <w:ind w:firstLine="642" w:firstLineChars="200"/>
    </w:pPr>
    <w:rPr>
      <w:rFonts w:ascii="隶书" w:eastAsia="隶书"/>
      <w:b/>
      <w:bCs/>
      <w:spacing w:val="20"/>
      <w:sz w:val="28"/>
      <w:szCs w:val="24"/>
    </w:rPr>
  </w:style>
  <w:style w:type="paragraph" w:styleId="9">
    <w:name w:val="Block Text"/>
    <w:basedOn w:val="1"/>
    <w:qFormat/>
    <w:uiPriority w:val="99"/>
    <w:pPr>
      <w:adjustRightInd w:val="0"/>
      <w:snapToGrid w:val="0"/>
      <w:ind w:left="1050" w:right="-693" w:rightChars="-330" w:hanging="1050" w:hangingChars="500"/>
    </w:pPr>
    <w:rPr>
      <w:rFonts w:ascii="Times New Roman" w:hAnsi="Times New Roman" w:eastAsia="宋体" w:cs="Times New Roman"/>
      <w:szCs w:val="24"/>
    </w:rPr>
  </w:style>
  <w:style w:type="paragraph" w:styleId="10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1">
    <w:name w:val="Plain Text"/>
    <w:basedOn w:val="1"/>
    <w:link w:val="60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12">
    <w:name w:val="Date"/>
    <w:basedOn w:val="1"/>
    <w:next w:val="1"/>
    <w:link w:val="61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13">
    <w:name w:val="Body Text Indent 2"/>
    <w:basedOn w:val="1"/>
    <w:link w:val="65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14">
    <w:name w:val="endnote text"/>
    <w:basedOn w:val="1"/>
    <w:link w:val="34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Cs w:val="24"/>
    </w:rPr>
  </w:style>
  <w:style w:type="paragraph" w:styleId="15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360" w:lineRule="auto"/>
      <w:jc w:val="left"/>
    </w:pPr>
    <w:rPr>
      <w:kern w:val="0"/>
      <w:sz w:val="24"/>
      <w:szCs w:val="24"/>
    </w:rPr>
  </w:style>
  <w:style w:type="paragraph" w:styleId="19">
    <w:name w:val="footnote text"/>
    <w:basedOn w:val="1"/>
    <w:link w:val="40"/>
    <w:qFormat/>
    <w:uiPriority w:val="99"/>
    <w:pPr>
      <w:widowControl/>
      <w:jc w:val="left"/>
    </w:pPr>
    <w:rPr>
      <w:rFonts w:ascii="Arial" w:hAnsi="Arial"/>
      <w:lang w:eastAsia="en-US"/>
    </w:rPr>
  </w:style>
  <w:style w:type="paragraph" w:styleId="20">
    <w:name w:val="toc 2"/>
    <w:basedOn w:val="1"/>
    <w:next w:val="1"/>
    <w:unhideWhenUsed/>
    <w:qFormat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21">
    <w:name w:val="HTML Preformatted"/>
    <w:basedOn w:val="1"/>
    <w:link w:val="5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sz w:val="24"/>
      <w:szCs w:val="24"/>
    </w:rPr>
  </w:style>
  <w:style w:type="paragraph" w:styleId="22">
    <w:name w:val="Normal (Web)"/>
    <w:basedOn w:val="1"/>
    <w:link w:val="49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18"/>
      <w:szCs w:val="18"/>
    </w:rPr>
  </w:style>
  <w:style w:type="table" w:styleId="24">
    <w:name w:val="Table Grid"/>
    <w:basedOn w:val="2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6">
    <w:name w:val="page number"/>
    <w:basedOn w:val="25"/>
    <w:qFormat/>
    <w:uiPriority w:val="99"/>
  </w:style>
  <w:style w:type="character" w:styleId="27">
    <w:name w:val="Hyperlink"/>
    <w:basedOn w:val="2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8">
    <w:name w:val="页眉 Char"/>
    <w:basedOn w:val="25"/>
    <w:link w:val="17"/>
    <w:qFormat/>
    <w:uiPriority w:val="99"/>
    <w:rPr>
      <w:sz w:val="18"/>
      <w:szCs w:val="18"/>
    </w:rPr>
  </w:style>
  <w:style w:type="character" w:customStyle="1" w:styleId="29">
    <w:name w:val="页脚 Char"/>
    <w:basedOn w:val="25"/>
    <w:link w:val="16"/>
    <w:qFormat/>
    <w:uiPriority w:val="99"/>
    <w:rPr>
      <w:sz w:val="18"/>
      <w:szCs w:val="18"/>
    </w:rPr>
  </w:style>
  <w:style w:type="character" w:customStyle="1" w:styleId="30">
    <w:name w:val="标题 1 Char"/>
    <w:basedOn w:val="25"/>
    <w:link w:val="2"/>
    <w:qFormat/>
    <w:uiPriority w:val="99"/>
    <w:rPr>
      <w:b/>
      <w:bCs/>
      <w:kern w:val="44"/>
      <w:sz w:val="24"/>
      <w:szCs w:val="44"/>
    </w:rPr>
  </w:style>
  <w:style w:type="paragraph" w:customStyle="1" w:styleId="31">
    <w:name w:val="Table Text"/>
    <w:basedOn w:val="1"/>
    <w:qFormat/>
    <w:uiPriority w:val="0"/>
    <w:pPr>
      <w:widowControl/>
      <w:spacing w:before="60" w:after="60" w:line="320" w:lineRule="exact"/>
      <w:jc w:val="center"/>
    </w:pPr>
    <w:rPr>
      <w:rFonts w:ascii="Times New Roman" w:hAnsi="Times New Roman" w:eastAsia="宋体" w:cs="Times New Roman"/>
      <w:bCs/>
      <w:kern w:val="0"/>
      <w:sz w:val="24"/>
      <w:szCs w:val="24"/>
      <w:lang w:eastAsia="en-US"/>
    </w:rPr>
  </w:style>
  <w:style w:type="paragraph" w:styleId="32">
    <w:name w:val="List Paragraph"/>
    <w:basedOn w:val="1"/>
    <w:qFormat/>
    <w:uiPriority w:val="0"/>
    <w:pPr>
      <w:ind w:firstLine="420" w:firstLineChars="200"/>
    </w:pPr>
  </w:style>
  <w:style w:type="paragraph" w:customStyle="1" w:styleId="3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34">
    <w:name w:val="尾注文本 Char"/>
    <w:basedOn w:val="25"/>
    <w:link w:val="14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5">
    <w:name w:val="批注框文本 Char"/>
    <w:basedOn w:val="25"/>
    <w:link w:val="15"/>
    <w:semiHidden/>
    <w:qFormat/>
    <w:uiPriority w:val="99"/>
    <w:rPr>
      <w:sz w:val="18"/>
      <w:szCs w:val="18"/>
    </w:rPr>
  </w:style>
  <w:style w:type="paragraph" w:customStyle="1" w:styleId="36">
    <w:name w:val="TOC 标题1"/>
    <w:basedOn w:val="2"/>
    <w:next w:val="1"/>
    <w:semiHidden/>
    <w:unhideWhenUsed/>
    <w:qFormat/>
    <w:uiPriority w:val="39"/>
    <w:pPr>
      <w:widowControl/>
      <w:spacing w:before="48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7">
    <w:name w:val="标题 2 Char"/>
    <w:basedOn w:val="25"/>
    <w:link w:val="3"/>
    <w:qFormat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38">
    <w:name w:val="标题 3 Char"/>
    <w:basedOn w:val="25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9">
    <w:name w:val="批注文字 Char1"/>
    <w:basedOn w:val="25"/>
    <w:link w:val="6"/>
    <w:qFormat/>
    <w:locked/>
    <w:uiPriority w:val="99"/>
    <w:rPr>
      <w:szCs w:val="24"/>
    </w:rPr>
  </w:style>
  <w:style w:type="character" w:customStyle="1" w:styleId="40">
    <w:name w:val="脚注文本 Char1"/>
    <w:basedOn w:val="25"/>
    <w:link w:val="19"/>
    <w:qFormat/>
    <w:locked/>
    <w:uiPriority w:val="99"/>
    <w:rPr>
      <w:rFonts w:ascii="Arial" w:hAnsi="Arial"/>
      <w:lang w:eastAsia="en-US"/>
    </w:rPr>
  </w:style>
  <w:style w:type="character" w:customStyle="1" w:styleId="41">
    <w:name w:val="apple-converted-space"/>
    <w:basedOn w:val="25"/>
    <w:qFormat/>
    <w:uiPriority w:val="99"/>
  </w:style>
  <w:style w:type="character" w:customStyle="1" w:styleId="42">
    <w:name w:val="Text Char Char"/>
    <w:link w:val="43"/>
    <w:qFormat/>
    <w:uiPriority w:val="99"/>
    <w:rPr>
      <w:rFonts w:eastAsia="宋体"/>
      <w:sz w:val="24"/>
      <w:lang w:eastAsia="en-US"/>
    </w:rPr>
  </w:style>
  <w:style w:type="paragraph" w:customStyle="1" w:styleId="43">
    <w:name w:val="Text"/>
    <w:basedOn w:val="1"/>
    <w:link w:val="42"/>
    <w:qFormat/>
    <w:uiPriority w:val="99"/>
    <w:pPr>
      <w:widowControl/>
      <w:spacing w:before="120"/>
    </w:pPr>
    <w:rPr>
      <w:rFonts w:eastAsia="宋体"/>
      <w:sz w:val="24"/>
      <w:lang w:eastAsia="en-US"/>
    </w:rPr>
  </w:style>
  <w:style w:type="character" w:customStyle="1" w:styleId="44">
    <w:name w:val="脚注文本 Char"/>
    <w:basedOn w:val="25"/>
    <w:qFormat/>
    <w:uiPriority w:val="99"/>
    <w:rPr>
      <w:kern w:val="2"/>
      <w:sz w:val="18"/>
      <w:szCs w:val="18"/>
    </w:rPr>
  </w:style>
  <w:style w:type="character" w:customStyle="1" w:styleId="45">
    <w:name w:val="医疗商务网www.ylsw.netmwrvyxyg6252l15iwx"/>
    <w:basedOn w:val="25"/>
    <w:qFormat/>
    <w:uiPriority w:val="0"/>
  </w:style>
  <w:style w:type="character" w:customStyle="1" w:styleId="46">
    <w:name w:val="批注文字 Char"/>
    <w:basedOn w:val="25"/>
    <w:qFormat/>
    <w:uiPriority w:val="99"/>
    <w:rPr>
      <w:kern w:val="2"/>
      <w:sz w:val="21"/>
      <w:szCs w:val="24"/>
    </w:rPr>
  </w:style>
  <w:style w:type="character" w:customStyle="1" w:styleId="47">
    <w:name w:val="Título Nivel 4 Zchn"/>
    <w:link w:val="48"/>
    <w:qFormat/>
    <w:locked/>
    <w:uiPriority w:val="99"/>
    <w:rPr>
      <w:rFonts w:ascii="Arial" w:hAnsi="Arial"/>
      <w:b/>
      <w:sz w:val="22"/>
      <w:lang w:eastAsia="en-US"/>
    </w:rPr>
  </w:style>
  <w:style w:type="paragraph" w:customStyle="1" w:styleId="48">
    <w:name w:val="Título Nivel 4"/>
    <w:basedOn w:val="1"/>
    <w:next w:val="1"/>
    <w:link w:val="47"/>
    <w:qFormat/>
    <w:uiPriority w:val="99"/>
    <w:pPr>
      <w:widowControl/>
      <w:tabs>
        <w:tab w:val="left" w:pos="425"/>
        <w:tab w:val="left" w:pos="720"/>
      </w:tabs>
      <w:spacing w:before="120"/>
      <w:ind w:left="1680" w:hanging="420"/>
    </w:pPr>
    <w:rPr>
      <w:rFonts w:ascii="Arial" w:hAnsi="Arial"/>
      <w:b/>
      <w:sz w:val="22"/>
      <w:lang w:eastAsia="en-US"/>
    </w:rPr>
  </w:style>
  <w:style w:type="character" w:customStyle="1" w:styleId="49">
    <w:name w:val="普通(网站) Char"/>
    <w:link w:val="22"/>
    <w:qFormat/>
    <w:uiPriority w:val="0"/>
    <w:rPr>
      <w:rFonts w:ascii="宋体" w:hAnsi="宋体"/>
      <w:color w:val="000000"/>
      <w:sz w:val="18"/>
      <w:szCs w:val="18"/>
    </w:rPr>
  </w:style>
  <w:style w:type="character" w:customStyle="1" w:styleId="50">
    <w:name w:val="p121"/>
    <w:basedOn w:val="25"/>
    <w:qFormat/>
    <w:uiPriority w:val="0"/>
    <w:rPr>
      <w:rFonts w:hint="default"/>
      <w:sz w:val="24"/>
      <w:szCs w:val="24"/>
      <w:u w:val="none"/>
    </w:rPr>
  </w:style>
  <w:style w:type="character" w:customStyle="1" w:styleId="51">
    <w:name w:val="正文文本缩进 Char"/>
    <w:basedOn w:val="25"/>
    <w:link w:val="8"/>
    <w:qFormat/>
    <w:locked/>
    <w:uiPriority w:val="99"/>
    <w:rPr>
      <w:rFonts w:ascii="隶书" w:eastAsia="隶书"/>
      <w:b/>
      <w:bCs/>
      <w:spacing w:val="20"/>
      <w:sz w:val="28"/>
      <w:szCs w:val="24"/>
    </w:rPr>
  </w:style>
  <w:style w:type="character" w:customStyle="1" w:styleId="52">
    <w:name w:val="HTML 预设格式 Char"/>
    <w:basedOn w:val="25"/>
    <w:link w:val="21"/>
    <w:qFormat/>
    <w:uiPriority w:val="99"/>
    <w:rPr>
      <w:rFonts w:ascii="Arial" w:hAnsi="Arial"/>
      <w:sz w:val="24"/>
      <w:szCs w:val="24"/>
    </w:rPr>
  </w:style>
  <w:style w:type="character" w:customStyle="1" w:styleId="53">
    <w:name w:val="正文文本缩进 Char1"/>
    <w:basedOn w:val="25"/>
    <w:semiHidden/>
    <w:qFormat/>
    <w:uiPriority w:val="99"/>
  </w:style>
  <w:style w:type="character" w:customStyle="1" w:styleId="54">
    <w:name w:val="正文文本 Char"/>
    <w:basedOn w:val="25"/>
    <w:link w:val="7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55">
    <w:name w:val="批注文字 Char2"/>
    <w:basedOn w:val="25"/>
    <w:semiHidden/>
    <w:qFormat/>
    <w:uiPriority w:val="99"/>
  </w:style>
  <w:style w:type="paragraph" w:customStyle="1" w:styleId="56">
    <w:name w:val="TOC 标题11"/>
    <w:basedOn w:val="2"/>
    <w:next w:val="1"/>
    <w:qFormat/>
    <w:uiPriority w:val="99"/>
    <w:pPr>
      <w:widowControl/>
      <w:spacing w:line="276" w:lineRule="auto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57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58">
    <w:name w:val="Titel2"/>
    <w:basedOn w:val="1"/>
    <w:qFormat/>
    <w:uiPriority w:val="0"/>
    <w:pPr>
      <w:widowControl/>
      <w:jc w:val="center"/>
    </w:pPr>
    <w:rPr>
      <w:rFonts w:ascii="Arial" w:hAnsi="Arial" w:eastAsia="宋体" w:cs="Arial"/>
      <w:snapToGrid w:val="0"/>
      <w:kern w:val="0"/>
      <w:sz w:val="44"/>
      <w:lang w:val="en-GB" w:eastAsia="de-DE"/>
    </w:rPr>
  </w:style>
  <w:style w:type="character" w:customStyle="1" w:styleId="59">
    <w:name w:val="HTML 预设格式 Char1"/>
    <w:basedOn w:val="25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60">
    <w:name w:val="纯文本 Char"/>
    <w:basedOn w:val="25"/>
    <w:link w:val="1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61">
    <w:name w:val="日期 Char"/>
    <w:basedOn w:val="25"/>
    <w:link w:val="1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62">
    <w:name w:val="Char Char9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宋体" w:cs="Verdana"/>
      <w:b/>
      <w:kern w:val="0"/>
      <w:sz w:val="24"/>
      <w:szCs w:val="20"/>
      <w:lang w:eastAsia="en-US"/>
    </w:rPr>
  </w:style>
  <w:style w:type="paragraph" w:customStyle="1" w:styleId="63">
    <w:name w:val="p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 w:cs="Times New Roman"/>
      <w:color w:val="000000"/>
      <w:kern w:val="0"/>
      <w:sz w:val="24"/>
      <w:szCs w:val="24"/>
    </w:rPr>
  </w:style>
  <w:style w:type="character" w:customStyle="1" w:styleId="64">
    <w:name w:val="脚注文本 Char2"/>
    <w:basedOn w:val="25"/>
    <w:semiHidden/>
    <w:qFormat/>
    <w:uiPriority w:val="99"/>
    <w:rPr>
      <w:sz w:val="18"/>
      <w:szCs w:val="18"/>
    </w:rPr>
  </w:style>
  <w:style w:type="character" w:customStyle="1" w:styleId="65">
    <w:name w:val="正文文本缩进 2 Char"/>
    <w:basedOn w:val="25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6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7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68">
    <w:name w:val="2 Char"/>
    <w:basedOn w:val="1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69">
    <w:name w:val="Heading Left"/>
    <w:basedOn w:val="1"/>
    <w:qFormat/>
    <w:uiPriority w:val="99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 w:eastAsia="宋体" w:cs="Times New Roman"/>
      <w:b/>
      <w:caps/>
      <w:kern w:val="0"/>
      <w:sz w:val="24"/>
      <w:szCs w:val="20"/>
      <w:lang w:val="en-GB" w:eastAsia="en-US"/>
    </w:rPr>
  </w:style>
  <w:style w:type="paragraph" w:customStyle="1" w:styleId="70">
    <w:name w:val="Normal_2"/>
    <w:qFormat/>
    <w:uiPriority w:val="99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71">
    <w:name w:val="表格"/>
    <w:basedOn w:val="1"/>
    <w:qFormat/>
    <w:uiPriority w:val="0"/>
    <w:pPr>
      <w:spacing w:line="400" w:lineRule="exact"/>
    </w:pPr>
    <w:rPr>
      <w:rFonts w:ascii="Times New Roman" w:hAnsi="Times New Roman" w:eastAsia="宋体" w:cs="Times New Roman"/>
      <w:sz w:val="24"/>
      <w:szCs w:val="20"/>
    </w:rPr>
  </w:style>
  <w:style w:type="character" w:customStyle="1" w:styleId="72">
    <w:name w:val="tpc_content1"/>
    <w:qFormat/>
    <w:uiPriority w:val="0"/>
    <w:rPr>
      <w:sz w:val="20"/>
      <w:szCs w:val="20"/>
    </w:rPr>
  </w:style>
  <w:style w:type="character" w:customStyle="1" w:styleId="73">
    <w:name w:val="正文缩进 Char"/>
    <w:link w:val="5"/>
    <w:qFormat/>
    <w:locked/>
    <w:uiPriority w:val="0"/>
    <w:rPr>
      <w:rFonts w:ascii="宋体" w:hAnsi="Times New Roman" w:eastAsia="宋体" w:cs="Times New Roman"/>
      <w:sz w:val="34"/>
    </w:rPr>
  </w:style>
  <w:style w:type="paragraph" w:customStyle="1" w:styleId="74">
    <w:name w:val="SKAN_Standard_Text"/>
    <w:basedOn w:val="1"/>
    <w:qFormat/>
    <w:uiPriority w:val="0"/>
    <w:pPr>
      <w:widowControl/>
      <w:jc w:val="left"/>
    </w:pPr>
    <w:rPr>
      <w:rFonts w:ascii="Arial" w:hAnsi="Arial" w:eastAsia="宋体" w:cs="Times New Roman"/>
      <w:kern w:val="0"/>
      <w:sz w:val="22"/>
      <w:szCs w:val="20"/>
      <w:lang w:val="de-DE" w:eastAsia="de-CH"/>
    </w:rPr>
  </w:style>
  <w:style w:type="paragraph" w:customStyle="1" w:styleId="7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AEC1E1-B70C-49D1-82BB-D498613E6D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606</Words>
  <Characters>3455</Characters>
  <Lines>28</Lines>
  <Paragraphs>8</Paragraphs>
  <TotalTime>7</TotalTime>
  <ScaleCrop>false</ScaleCrop>
  <LinksUpToDate>false</LinksUpToDate>
  <CharactersWithSpaces>4053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2021-08-18T09:18:00Z</dcterms:created>
  <dc:creator>赵海龙</dc:creator>
  <cp:lastModifiedBy>Howard</cp:lastModifiedBy>
  <cp:lastPrinted>2021-08-31T05:33:00Z</cp:lastPrinted>
  <dcterms:modified xsi:type="dcterms:W3CDTF">2021-09-08T02:38:18Z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