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widowControl w:val="0"/>
        <w:jc w:val="both"/>
        <w:rPr>
          <w:rFonts w:cs="Arial"/>
          <w:bCs w:val="0"/>
          <w:kern w:val="2"/>
          <w:sz w:val="21"/>
          <w:szCs w:val="18"/>
          <w:lang w:val="en-US" w:bidi="ar-SA"/>
        </w:rPr>
      </w:pPr>
    </w:p>
    <w:tbl>
      <w:tblPr>
        <w:tblStyle w:val="16"/>
        <w:tblpPr w:leftFromText="180" w:rightFromText="180" w:vertAnchor="text" w:horzAnchor="page" w:tblpX="2169" w:tblpY="153"/>
        <w:tblW w:w="0" w:type="auto"/>
        <w:tblInd w:w="0" w:type="dxa"/>
        <w:tblLayout w:type="fixed"/>
        <w:tblCellMar>
          <w:top w:w="0" w:type="dxa"/>
          <w:left w:w="107" w:type="dxa"/>
          <w:bottom w:w="0" w:type="dxa"/>
          <w:right w:w="107" w:type="dxa"/>
        </w:tblCellMar>
      </w:tblPr>
      <w:tblGrid>
        <w:gridCol w:w="2000"/>
        <w:gridCol w:w="2673"/>
        <w:gridCol w:w="1527"/>
        <w:gridCol w:w="1766"/>
      </w:tblGrid>
      <w:tr>
        <w:tblPrEx>
          <w:tblCellMar>
            <w:top w:w="0" w:type="dxa"/>
            <w:left w:w="107" w:type="dxa"/>
            <w:bottom w:w="0" w:type="dxa"/>
            <w:right w:w="107" w:type="dxa"/>
          </w:tblCellMar>
        </w:tblPrEx>
        <w:trPr>
          <w:cantSplit/>
          <w:trHeight w:val="717" w:hRule="exact"/>
        </w:trPr>
        <w:tc>
          <w:tcPr>
            <w:tcW w:w="2000"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100"/>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Name/</w:t>
            </w:r>
            <w:r>
              <w:rPr>
                <w:rFonts w:hint="eastAsia" w:ascii="Times New Roman" w:hAnsi="Times New Roman" w:cs="Times New Roman"/>
                <w:bCs w:val="0"/>
                <w:kern w:val="2"/>
                <w:sz w:val="21"/>
                <w:szCs w:val="18"/>
                <w:lang w:val="en-US" w:bidi="ar-SA"/>
              </w:rPr>
              <w:t>申请人</w:t>
            </w:r>
          </w:p>
        </w:tc>
        <w:tc>
          <w:tcPr>
            <w:tcW w:w="2673"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Dept./部门</w:t>
            </w:r>
          </w:p>
        </w:tc>
        <w:tc>
          <w:tcPr>
            <w:tcW w:w="1527"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1" w:leftChars="-79" w:hanging="165" w:hangingChars="79"/>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Visa/签字</w:t>
            </w:r>
          </w:p>
        </w:tc>
        <w:tc>
          <w:tcPr>
            <w:tcW w:w="1766"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0" w:leftChars="-50" w:hanging="105" w:hangingChars="50"/>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Date/日期</w:t>
            </w:r>
          </w:p>
        </w:tc>
      </w:tr>
      <w:tr>
        <w:tblPrEx>
          <w:tblCellMar>
            <w:top w:w="0" w:type="dxa"/>
            <w:left w:w="107" w:type="dxa"/>
            <w:bottom w:w="0" w:type="dxa"/>
            <w:right w:w="107" w:type="dxa"/>
          </w:tblCellMar>
        </w:tblPrEx>
        <w:trPr>
          <w:cantSplit/>
          <w:trHeight w:val="721" w:hRule="atLeast"/>
        </w:trPr>
        <w:tc>
          <w:tcPr>
            <w:tcW w:w="2000" w:type="dxa"/>
            <w:tcBorders>
              <w:top w:val="single" w:color="auto" w:sz="6" w:space="0"/>
              <w:left w:val="single" w:color="auto" w:sz="6" w:space="0"/>
              <w:bottom w:val="single" w:color="auto" w:sz="6" w:space="0"/>
              <w:right w:val="single" w:color="auto" w:sz="6" w:space="0"/>
            </w:tcBorders>
            <w:vAlign w:val="center"/>
          </w:tcPr>
          <w:p>
            <w:pPr>
              <w:pStyle w:val="2"/>
              <w:keepNext/>
              <w:widowControl w:val="0"/>
              <w:spacing w:before="0" w:after="0"/>
              <w:jc w:val="center"/>
              <w:outlineLvl w:val="9"/>
              <w:rPr>
                <w:rFonts w:ascii="Times New Roman" w:hAnsi="Times New Roman" w:cs="Times New Roman"/>
                <w:b w:val="0"/>
                <w:kern w:val="2"/>
                <w:sz w:val="21"/>
                <w:szCs w:val="18"/>
                <w:lang w:val="en-US" w:bidi="ar-SA"/>
              </w:rPr>
            </w:pPr>
          </w:p>
        </w:tc>
        <w:tc>
          <w:tcPr>
            <w:tcW w:w="2673" w:type="dxa"/>
            <w:tcBorders>
              <w:top w:val="single" w:color="auto" w:sz="6" w:space="0"/>
              <w:left w:val="single" w:color="auto" w:sz="6" w:space="0"/>
              <w:bottom w:val="single" w:color="auto" w:sz="6" w:space="0"/>
              <w:right w:val="single" w:color="auto" w:sz="6" w:space="0"/>
            </w:tcBorders>
            <w:vAlign w:val="center"/>
          </w:tcPr>
          <w:p>
            <w:pPr>
              <w:pStyle w:val="2"/>
              <w:keepNext/>
              <w:widowControl w:val="0"/>
              <w:spacing w:before="0" w:after="0"/>
              <w:jc w:val="center"/>
              <w:outlineLvl w:val="9"/>
              <w:rPr>
                <w:rFonts w:ascii="Times New Roman" w:hAnsi="Times New Roman" w:cs="Times New Roman"/>
                <w:b w:val="0"/>
                <w:kern w:val="2"/>
                <w:sz w:val="21"/>
                <w:szCs w:val="18"/>
                <w:lang w:val="en-US" w:bidi="ar-SA"/>
              </w:rPr>
            </w:pPr>
          </w:p>
        </w:tc>
        <w:tc>
          <w:tcPr>
            <w:tcW w:w="1527" w:type="dxa"/>
            <w:tcBorders>
              <w:top w:val="single" w:color="auto" w:sz="6" w:space="0"/>
              <w:left w:val="single" w:color="auto" w:sz="6" w:space="0"/>
              <w:bottom w:val="single" w:color="auto" w:sz="6" w:space="0"/>
              <w:right w:val="single" w:color="auto" w:sz="6" w:space="0"/>
            </w:tcBorders>
            <w:vAlign w:val="center"/>
          </w:tcPr>
          <w:p>
            <w:pPr>
              <w:widowControl w:val="0"/>
              <w:ind w:left="100"/>
              <w:jc w:val="center"/>
              <w:rPr>
                <w:rFonts w:ascii="Times New Roman" w:hAnsi="Times New Roman" w:cs="Times New Roman"/>
                <w:b w:val="0"/>
                <w:kern w:val="2"/>
                <w:sz w:val="21"/>
                <w:szCs w:val="18"/>
                <w:lang w:val="en-US" w:bidi="ar-SA"/>
              </w:rPr>
            </w:pPr>
          </w:p>
        </w:tc>
        <w:tc>
          <w:tcPr>
            <w:tcW w:w="1766" w:type="dxa"/>
            <w:tcBorders>
              <w:top w:val="single" w:color="auto" w:sz="6" w:space="0"/>
              <w:left w:val="single" w:color="auto" w:sz="6" w:space="0"/>
              <w:bottom w:val="single" w:color="auto" w:sz="6" w:space="0"/>
              <w:right w:val="single" w:color="auto" w:sz="6" w:space="0"/>
            </w:tcBorders>
            <w:vAlign w:val="center"/>
          </w:tcPr>
          <w:p>
            <w:pPr>
              <w:widowControl w:val="0"/>
              <w:ind w:left="100"/>
              <w:jc w:val="center"/>
              <w:rPr>
                <w:rFonts w:ascii="Times New Roman" w:hAnsi="Times New Roman" w:cs="Times New Roman"/>
                <w:b w:val="0"/>
                <w:kern w:val="2"/>
                <w:sz w:val="21"/>
                <w:szCs w:val="18"/>
                <w:lang w:val="en-US" w:bidi="ar-SA"/>
              </w:rPr>
            </w:pPr>
          </w:p>
        </w:tc>
      </w:tr>
    </w:tbl>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p>
      <w:pPr>
        <w:spacing w:line="480" w:lineRule="exact"/>
        <w:ind w:right="-58"/>
        <w:jc w:val="center"/>
        <w:rPr>
          <w:rFonts w:hint="eastAsia"/>
          <w:b/>
          <w:sz w:val="28"/>
          <w:szCs w:val="24"/>
        </w:rPr>
      </w:pPr>
    </w:p>
    <w:sdt>
      <w:sdtPr>
        <w:rPr>
          <w:rFonts w:ascii="宋体" w:hAnsi="宋体" w:eastAsia="宋体" w:cstheme="minorBidi"/>
          <w:kern w:val="2"/>
          <w:sz w:val="21"/>
          <w:szCs w:val="22"/>
          <w:lang w:val="en-US" w:eastAsia="zh-CN" w:bidi="ar-SA"/>
        </w:rPr>
        <w:id w:val="147479482"/>
        <w15:color w:val="DBDBDB"/>
        <w:docPartObj>
          <w:docPartGallery w:val="Table of Contents"/>
          <w:docPartUnique/>
        </w:docPartObj>
      </w:sdtPr>
      <w:sdtEndPr>
        <w:rPr>
          <w:rFonts w:hint="eastAsia" w:asciiTheme="minorHAnsi" w:hAnsiTheme="minorHAnsi" w:eastAsiaTheme="minorEastAsia"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0"/>
            <w:tabs>
              <w:tab w:val="right" w:leader="dot" w:pos="8306"/>
            </w:tabs>
            <w:rPr>
              <w:b/>
            </w:rPr>
          </w:pPr>
          <w:r>
            <w:rPr>
              <w:rFonts w:hint="eastAsia"/>
              <w:b/>
              <w:sz w:val="28"/>
              <w:szCs w:val="24"/>
            </w:rPr>
            <w:fldChar w:fldCharType="begin"/>
          </w:r>
          <w:r>
            <w:rPr>
              <w:rFonts w:hint="eastAsia"/>
              <w:b/>
              <w:sz w:val="28"/>
              <w:szCs w:val="24"/>
            </w:rPr>
            <w:instrText xml:space="preserve">TOC \o "1-2" \h \u </w:instrText>
          </w:r>
          <w:r>
            <w:rPr>
              <w:rFonts w:hint="eastAsia"/>
              <w:b/>
              <w:sz w:val="28"/>
              <w:szCs w:val="24"/>
            </w:rPr>
            <w:fldChar w:fldCharType="separate"/>
          </w:r>
          <w:r>
            <w:rPr>
              <w:rFonts w:hint="eastAsia"/>
              <w:b/>
              <w:szCs w:val="24"/>
            </w:rPr>
            <w:fldChar w:fldCharType="begin"/>
          </w:r>
          <w:r>
            <w:rPr>
              <w:rFonts w:hint="eastAsia"/>
              <w:b/>
              <w:szCs w:val="24"/>
            </w:rPr>
            <w:instrText xml:space="preserve"> HYPERLINK \l _Toc22012 </w:instrText>
          </w:r>
          <w:r>
            <w:rPr>
              <w:rFonts w:hint="eastAsia"/>
              <w:b/>
              <w:szCs w:val="24"/>
            </w:rPr>
            <w:fldChar w:fldCharType="separate"/>
          </w:r>
          <w:r>
            <w:rPr>
              <w:rFonts w:hint="eastAsia"/>
              <w:b/>
              <w:szCs w:val="28"/>
            </w:rPr>
            <w:t>一、目的</w:t>
          </w:r>
          <w:r>
            <w:rPr>
              <w:b/>
            </w:rPr>
            <w:tab/>
          </w:r>
          <w:r>
            <w:rPr>
              <w:b/>
            </w:rPr>
            <w:fldChar w:fldCharType="begin"/>
          </w:r>
          <w:r>
            <w:rPr>
              <w:b/>
            </w:rPr>
            <w:instrText xml:space="preserve"> PAGEREF _Toc22012 \h </w:instrText>
          </w:r>
          <w:r>
            <w:rPr>
              <w:b/>
            </w:rPr>
            <w:fldChar w:fldCharType="separate"/>
          </w:r>
          <w:r>
            <w:rPr>
              <w:b/>
            </w:rPr>
            <w:t>3</w:t>
          </w:r>
          <w:r>
            <w:rPr>
              <w:b/>
            </w:rPr>
            <w:fldChar w:fldCharType="end"/>
          </w:r>
          <w:r>
            <w:rPr>
              <w:rFonts w:hint="eastAsia"/>
              <w:b/>
              <w:szCs w:val="24"/>
            </w:rPr>
            <w:fldChar w:fldCharType="end"/>
          </w:r>
        </w:p>
        <w:p>
          <w:pPr>
            <w:pStyle w:val="30"/>
            <w:tabs>
              <w:tab w:val="right" w:leader="dot" w:pos="8306"/>
            </w:tabs>
            <w:rPr>
              <w:b/>
            </w:rPr>
          </w:pPr>
          <w:r>
            <w:rPr>
              <w:rFonts w:hint="eastAsia"/>
              <w:b/>
              <w:szCs w:val="24"/>
            </w:rPr>
            <w:fldChar w:fldCharType="begin"/>
          </w:r>
          <w:r>
            <w:rPr>
              <w:rFonts w:hint="eastAsia"/>
              <w:b/>
              <w:szCs w:val="24"/>
            </w:rPr>
            <w:instrText xml:space="preserve"> HYPERLINK \l _Toc30757 </w:instrText>
          </w:r>
          <w:r>
            <w:rPr>
              <w:rFonts w:hint="eastAsia"/>
              <w:b/>
              <w:szCs w:val="24"/>
            </w:rPr>
            <w:fldChar w:fldCharType="separate"/>
          </w:r>
          <w:r>
            <w:rPr>
              <w:rFonts w:hint="eastAsia"/>
              <w:b/>
              <w:szCs w:val="28"/>
            </w:rPr>
            <w:t xml:space="preserve">二、 </w:t>
          </w:r>
          <w:r>
            <w:rPr>
              <w:rFonts w:hint="eastAsia"/>
              <w:b/>
              <w:szCs w:val="28"/>
            </w:rPr>
            <w:t>一般说明</w:t>
          </w:r>
          <w:r>
            <w:rPr>
              <w:b/>
            </w:rPr>
            <w:tab/>
          </w:r>
          <w:r>
            <w:rPr>
              <w:b/>
            </w:rPr>
            <w:fldChar w:fldCharType="begin"/>
          </w:r>
          <w:r>
            <w:rPr>
              <w:b/>
            </w:rPr>
            <w:instrText xml:space="preserve"> PAGEREF _Toc30757 \h </w:instrText>
          </w:r>
          <w:r>
            <w:rPr>
              <w:b/>
            </w:rPr>
            <w:fldChar w:fldCharType="separate"/>
          </w:r>
          <w:r>
            <w:rPr>
              <w:b/>
            </w:rPr>
            <w:t>3</w:t>
          </w:r>
          <w:r>
            <w:rPr>
              <w:b/>
            </w:rPr>
            <w:fldChar w:fldCharType="end"/>
          </w:r>
          <w:r>
            <w:rPr>
              <w:rFonts w:hint="eastAsia"/>
              <w:b/>
              <w:szCs w:val="24"/>
            </w:rPr>
            <w:fldChar w:fldCharType="end"/>
          </w:r>
        </w:p>
        <w:p>
          <w:pPr>
            <w:pStyle w:val="30"/>
            <w:tabs>
              <w:tab w:val="right" w:leader="dot" w:pos="8306"/>
            </w:tabs>
            <w:rPr>
              <w:b/>
            </w:rPr>
          </w:pPr>
          <w:r>
            <w:rPr>
              <w:rFonts w:hint="eastAsia"/>
              <w:b/>
              <w:szCs w:val="24"/>
            </w:rPr>
            <w:fldChar w:fldCharType="begin"/>
          </w:r>
          <w:r>
            <w:rPr>
              <w:rFonts w:hint="eastAsia"/>
              <w:b/>
              <w:szCs w:val="24"/>
            </w:rPr>
            <w:instrText xml:space="preserve"> HYPERLINK \l _Toc28944 </w:instrText>
          </w:r>
          <w:r>
            <w:rPr>
              <w:rFonts w:hint="eastAsia"/>
              <w:b/>
              <w:szCs w:val="24"/>
            </w:rPr>
            <w:fldChar w:fldCharType="separate"/>
          </w:r>
          <w:r>
            <w:rPr>
              <w:rFonts w:hint="eastAsia"/>
              <w:b/>
              <w:szCs w:val="28"/>
              <w:lang w:eastAsia="zh-CN"/>
            </w:rPr>
            <w:t xml:space="preserve">三、 </w:t>
          </w:r>
          <w:r>
            <w:rPr>
              <w:rFonts w:hint="eastAsia"/>
              <w:b/>
              <w:szCs w:val="28"/>
              <w:lang w:eastAsia="zh-CN"/>
            </w:rPr>
            <w:t>系统要求</w:t>
          </w:r>
          <w:r>
            <w:rPr>
              <w:b/>
            </w:rPr>
            <w:tab/>
          </w:r>
          <w:r>
            <w:rPr>
              <w:b/>
            </w:rPr>
            <w:fldChar w:fldCharType="begin"/>
          </w:r>
          <w:r>
            <w:rPr>
              <w:b/>
            </w:rPr>
            <w:instrText xml:space="preserve"> PAGEREF _Toc28944 \h </w:instrText>
          </w:r>
          <w:r>
            <w:rPr>
              <w:b/>
            </w:rPr>
            <w:fldChar w:fldCharType="separate"/>
          </w:r>
          <w:r>
            <w:rPr>
              <w:b/>
            </w:rPr>
            <w:t>3</w:t>
          </w:r>
          <w:r>
            <w:rPr>
              <w:b/>
            </w:rPr>
            <w:fldChar w:fldCharType="end"/>
          </w:r>
          <w:r>
            <w:rPr>
              <w:rFonts w:hint="eastAsia"/>
              <w:b/>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_Toc12104 </w:instrText>
          </w:r>
          <w:r>
            <w:rPr>
              <w:rFonts w:hint="eastAsia"/>
              <w:szCs w:val="24"/>
            </w:rPr>
            <w:fldChar w:fldCharType="separate"/>
          </w:r>
          <w:r>
            <w:rPr>
              <w:rFonts w:hint="eastAsia"/>
            </w:rPr>
            <w:t>1. 缩写与定义</w:t>
          </w:r>
          <w:r>
            <w:tab/>
          </w:r>
          <w:r>
            <w:fldChar w:fldCharType="begin"/>
          </w:r>
          <w:r>
            <w:instrText xml:space="preserve"> PAGEREF _Toc12104 \h </w:instrText>
          </w:r>
          <w:r>
            <w:fldChar w:fldCharType="separate"/>
          </w:r>
          <w:r>
            <w:t>4</w:t>
          </w:r>
          <w:r>
            <w:fldChar w:fldCharType="end"/>
          </w:r>
          <w:r>
            <w:rPr>
              <w:rFonts w:hint="eastAsia"/>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_Toc25641 </w:instrText>
          </w:r>
          <w:r>
            <w:rPr>
              <w:rFonts w:hint="eastAsia"/>
              <w:szCs w:val="24"/>
            </w:rPr>
            <w:fldChar w:fldCharType="separate"/>
          </w:r>
          <w:r>
            <w:rPr>
              <w:rFonts w:hint="eastAsia"/>
            </w:rPr>
            <w:t>2. 关键技术指标和功能要求</w:t>
          </w:r>
          <w:r>
            <w:tab/>
          </w:r>
          <w:r>
            <w:fldChar w:fldCharType="begin"/>
          </w:r>
          <w:r>
            <w:instrText xml:space="preserve"> PAGEREF _Toc25641 \h </w:instrText>
          </w:r>
          <w:r>
            <w:fldChar w:fldCharType="separate"/>
          </w:r>
          <w:r>
            <w:t>4</w:t>
          </w:r>
          <w:r>
            <w:fldChar w:fldCharType="end"/>
          </w:r>
          <w:r>
            <w:rPr>
              <w:rFonts w:hint="eastAsia"/>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_Toc30619 </w:instrText>
          </w:r>
          <w:r>
            <w:rPr>
              <w:rFonts w:hint="eastAsia"/>
              <w:szCs w:val="24"/>
            </w:rPr>
            <w:fldChar w:fldCharType="separate"/>
          </w:r>
          <w:r>
            <w:rPr>
              <w:lang w:val="en-US"/>
            </w:rPr>
            <w:t xml:space="preserve">3. </w:t>
          </w:r>
          <w:r>
            <w:rPr>
              <w:rFonts w:hint="eastAsia"/>
            </w:rPr>
            <w:t>验证和培训要求</w:t>
          </w:r>
          <w:r>
            <w:tab/>
          </w:r>
          <w:r>
            <w:fldChar w:fldCharType="begin"/>
          </w:r>
          <w:r>
            <w:instrText xml:space="preserve"> PAGEREF _Toc30619 \h </w:instrText>
          </w:r>
          <w:r>
            <w:fldChar w:fldCharType="separate"/>
          </w:r>
          <w:r>
            <w:t>5</w:t>
          </w:r>
          <w:r>
            <w:fldChar w:fldCharType="end"/>
          </w:r>
          <w:r>
            <w:rPr>
              <w:rFonts w:hint="eastAsia"/>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_Toc25842 </w:instrText>
          </w:r>
          <w:r>
            <w:rPr>
              <w:rFonts w:hint="eastAsia"/>
              <w:szCs w:val="24"/>
            </w:rPr>
            <w:fldChar w:fldCharType="separate"/>
          </w:r>
          <w:r>
            <w:t xml:space="preserve">4. </w:t>
          </w:r>
          <w:r>
            <w:rPr>
              <w:rFonts w:hint="eastAsia"/>
            </w:rPr>
            <w:t>安全要求</w:t>
          </w:r>
          <w:r>
            <w:tab/>
          </w:r>
          <w:r>
            <w:fldChar w:fldCharType="begin"/>
          </w:r>
          <w:r>
            <w:instrText xml:space="preserve"> PAGEREF _Toc25842 \h </w:instrText>
          </w:r>
          <w:r>
            <w:fldChar w:fldCharType="separate"/>
          </w:r>
          <w:r>
            <w:t>6</w:t>
          </w:r>
          <w:r>
            <w:fldChar w:fldCharType="end"/>
          </w:r>
          <w:r>
            <w:rPr>
              <w:rFonts w:hint="eastAsia"/>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_Toc11289 </w:instrText>
          </w:r>
          <w:r>
            <w:rPr>
              <w:rFonts w:hint="eastAsia"/>
              <w:szCs w:val="24"/>
            </w:rPr>
            <w:fldChar w:fldCharType="separate"/>
          </w:r>
          <w:r>
            <w:t xml:space="preserve">5. </w:t>
          </w:r>
          <w:r>
            <w:rPr>
              <w:rFonts w:hint="eastAsia"/>
            </w:rPr>
            <w:t>包装和运输要求</w:t>
          </w:r>
          <w:r>
            <w:tab/>
          </w:r>
          <w:r>
            <w:fldChar w:fldCharType="begin"/>
          </w:r>
          <w:r>
            <w:instrText xml:space="preserve"> PAGEREF _Toc11289 \h </w:instrText>
          </w:r>
          <w:r>
            <w:fldChar w:fldCharType="separate"/>
          </w:r>
          <w:r>
            <w:t>6</w:t>
          </w:r>
          <w:r>
            <w:fldChar w:fldCharType="end"/>
          </w:r>
          <w:r>
            <w:rPr>
              <w:rFonts w:hint="eastAsia"/>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_Toc22159 </w:instrText>
          </w:r>
          <w:r>
            <w:rPr>
              <w:rFonts w:hint="eastAsia"/>
              <w:szCs w:val="24"/>
            </w:rPr>
            <w:fldChar w:fldCharType="separate"/>
          </w:r>
          <w:r>
            <w:t xml:space="preserve">6. </w:t>
          </w:r>
          <w:r>
            <w:rPr>
              <w:rFonts w:hint="eastAsia"/>
            </w:rPr>
            <w:t>文件资料要求</w:t>
          </w:r>
          <w:r>
            <w:tab/>
          </w:r>
          <w:r>
            <w:fldChar w:fldCharType="begin"/>
          </w:r>
          <w:r>
            <w:instrText xml:space="preserve"> PAGEREF _Toc22159 \h </w:instrText>
          </w:r>
          <w:r>
            <w:fldChar w:fldCharType="separate"/>
          </w:r>
          <w:r>
            <w:t>6</w:t>
          </w:r>
          <w:r>
            <w:fldChar w:fldCharType="end"/>
          </w:r>
          <w:r>
            <w:rPr>
              <w:rFonts w:hint="eastAsia"/>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_Toc3870 </w:instrText>
          </w:r>
          <w:r>
            <w:rPr>
              <w:rFonts w:hint="eastAsia"/>
              <w:szCs w:val="24"/>
            </w:rPr>
            <w:fldChar w:fldCharType="separate"/>
          </w:r>
          <w:r>
            <w:t xml:space="preserve">7. </w:t>
          </w:r>
          <w:r>
            <w:rPr>
              <w:rFonts w:hint="eastAsia"/>
            </w:rPr>
            <w:t>安装和调试要求</w:t>
          </w:r>
          <w:r>
            <w:tab/>
          </w:r>
          <w:r>
            <w:fldChar w:fldCharType="begin"/>
          </w:r>
          <w:r>
            <w:instrText xml:space="preserve"> PAGEREF _Toc3870 \h </w:instrText>
          </w:r>
          <w:r>
            <w:fldChar w:fldCharType="separate"/>
          </w:r>
          <w:r>
            <w:t>7</w:t>
          </w:r>
          <w:r>
            <w:fldChar w:fldCharType="end"/>
          </w:r>
          <w:r>
            <w:rPr>
              <w:rFonts w:hint="eastAsia"/>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_Toc22155 </w:instrText>
          </w:r>
          <w:r>
            <w:rPr>
              <w:rFonts w:hint="eastAsia"/>
              <w:szCs w:val="24"/>
            </w:rPr>
            <w:fldChar w:fldCharType="separate"/>
          </w:r>
          <w:r>
            <w:t xml:space="preserve">8. </w:t>
          </w:r>
          <w:r>
            <w:rPr>
              <w:rFonts w:hint="eastAsia"/>
            </w:rPr>
            <w:t>服务要求</w:t>
          </w:r>
          <w:r>
            <w:tab/>
          </w:r>
          <w:r>
            <w:fldChar w:fldCharType="begin"/>
          </w:r>
          <w:r>
            <w:instrText xml:space="preserve"> PAGEREF _Toc22155 \h </w:instrText>
          </w:r>
          <w:r>
            <w:fldChar w:fldCharType="separate"/>
          </w:r>
          <w:r>
            <w:t>7</w:t>
          </w:r>
          <w:r>
            <w:fldChar w:fldCharType="end"/>
          </w:r>
          <w:r>
            <w:rPr>
              <w:rFonts w:hint="eastAsia"/>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_Toc8738 </w:instrText>
          </w:r>
          <w:r>
            <w:rPr>
              <w:rFonts w:hint="eastAsia"/>
              <w:szCs w:val="24"/>
            </w:rPr>
            <w:fldChar w:fldCharType="separate"/>
          </w:r>
          <w:r>
            <w:t xml:space="preserve">9. </w:t>
          </w:r>
          <w:r>
            <w:rPr>
              <w:rFonts w:hint="eastAsia"/>
            </w:rPr>
            <w:t>维修与保养要求</w:t>
          </w:r>
          <w:r>
            <w:tab/>
          </w:r>
          <w:r>
            <w:fldChar w:fldCharType="begin"/>
          </w:r>
          <w:r>
            <w:instrText xml:space="preserve"> PAGEREF _Toc8738 \h </w:instrText>
          </w:r>
          <w:r>
            <w:fldChar w:fldCharType="separate"/>
          </w:r>
          <w:r>
            <w:t>8</w:t>
          </w:r>
          <w:r>
            <w:fldChar w:fldCharType="end"/>
          </w:r>
          <w:r>
            <w:rPr>
              <w:rFonts w:hint="eastAsia"/>
              <w:szCs w:val="24"/>
            </w:rPr>
            <w:fldChar w:fldCharType="end"/>
          </w:r>
        </w:p>
        <w:p>
          <w:pPr>
            <w:pStyle w:val="31"/>
            <w:tabs>
              <w:tab w:val="right" w:leader="dot" w:pos="8306"/>
            </w:tabs>
          </w:pPr>
          <w:r>
            <w:rPr>
              <w:rFonts w:hint="eastAsia"/>
              <w:szCs w:val="24"/>
            </w:rPr>
            <w:fldChar w:fldCharType="begin"/>
          </w:r>
          <w:r>
            <w:rPr>
              <w:rFonts w:hint="eastAsia"/>
              <w:szCs w:val="24"/>
            </w:rPr>
            <w:instrText xml:space="preserve"> HYPERLINK \l _Toc14901 </w:instrText>
          </w:r>
          <w:r>
            <w:rPr>
              <w:rFonts w:hint="eastAsia"/>
              <w:szCs w:val="24"/>
            </w:rPr>
            <w:fldChar w:fldCharType="separate"/>
          </w:r>
          <w:r>
            <w:rPr>
              <w:lang w:val="en-US"/>
            </w:rPr>
            <w:t xml:space="preserve">10. </w:t>
          </w:r>
          <w:r>
            <w:rPr>
              <w:rFonts w:hint="eastAsia"/>
              <w:lang w:val="en-US"/>
            </w:rPr>
            <w:t>付款方式及要求</w:t>
          </w:r>
          <w:r>
            <w:tab/>
          </w:r>
          <w:r>
            <w:fldChar w:fldCharType="begin"/>
          </w:r>
          <w:r>
            <w:instrText xml:space="preserve"> PAGEREF _Toc14901 \h </w:instrText>
          </w:r>
          <w:r>
            <w:fldChar w:fldCharType="separate"/>
          </w:r>
          <w:r>
            <w:t>9</w:t>
          </w:r>
          <w:r>
            <w:fldChar w:fldCharType="end"/>
          </w:r>
          <w:r>
            <w:rPr>
              <w:rFonts w:hint="eastAsia"/>
              <w:szCs w:val="24"/>
            </w:rPr>
            <w:fldChar w:fldCharType="end"/>
          </w:r>
        </w:p>
        <w:p>
          <w:pPr>
            <w:spacing w:line="480" w:lineRule="exact"/>
            <w:ind w:right="-58"/>
            <w:jc w:val="center"/>
            <w:rPr>
              <w:rFonts w:hint="eastAsia"/>
              <w:b/>
              <w:sz w:val="28"/>
              <w:szCs w:val="24"/>
            </w:rPr>
          </w:pPr>
          <w:r>
            <w:rPr>
              <w:rFonts w:hint="eastAsia"/>
              <w:b/>
              <w:szCs w:val="24"/>
            </w:rPr>
            <w:fldChar w:fldCharType="end"/>
          </w:r>
        </w:p>
      </w:sdtContent>
    </w:sdt>
    <w:p>
      <w:pPr>
        <w:spacing w:line="480" w:lineRule="exact"/>
        <w:ind w:right="-58"/>
        <w:jc w:val="center"/>
        <w:rPr>
          <w:rFonts w:hint="eastAsia"/>
          <w:b/>
          <w:sz w:val="28"/>
          <w:szCs w:val="24"/>
        </w:rPr>
      </w:pPr>
    </w:p>
    <w:p>
      <w:pPr>
        <w:pStyle w:val="11"/>
        <w:tabs>
          <w:tab w:val="right" w:leader="dot" w:pos="9174"/>
        </w:tabs>
        <w:outlineLvl w:val="9"/>
      </w:pPr>
      <w:bookmarkStart w:id="39" w:name="_GoBack"/>
      <w:bookmarkEnd w:id="39"/>
    </w:p>
    <w:p/>
    <w:p/>
    <w:p/>
    <w:p/>
    <w:p/>
    <w:p/>
    <w:p/>
    <w:p/>
    <w:p/>
    <w:p/>
    <w:p/>
    <w:p/>
    <w:p/>
    <w:p>
      <w:pPr>
        <w:pStyle w:val="11"/>
        <w:tabs>
          <w:tab w:val="right" w:leader="dot" w:pos="9174"/>
        </w:tabs>
        <w:outlineLvl w:val="9"/>
        <w:rPr>
          <w:rFonts w:hint="eastAsia"/>
        </w:rPr>
      </w:pPr>
      <w:bookmarkStart w:id="0" w:name="_Toc8742992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bidi w:val="0"/>
        <w:rPr>
          <w:sz w:val="28"/>
          <w:szCs w:val="28"/>
        </w:rPr>
      </w:pPr>
      <w:bookmarkStart w:id="1" w:name="_Toc22012"/>
      <w:r>
        <w:rPr>
          <w:rFonts w:hint="eastAsia"/>
          <w:sz w:val="28"/>
          <w:szCs w:val="28"/>
        </w:rPr>
        <w:t>一、目的</w:t>
      </w:r>
      <w:bookmarkEnd w:id="0"/>
      <w:bookmarkEnd w:id="1"/>
    </w:p>
    <w:p>
      <w:pPr>
        <w:spacing w:line="440" w:lineRule="exact"/>
        <w:ind w:firstLine="420" w:firstLineChars="200"/>
        <w:rPr>
          <w:rFonts w:hint="eastAsia"/>
          <w:szCs w:val="24"/>
          <w:lang w:eastAsia="zh-CN"/>
        </w:rPr>
      </w:pPr>
      <w:r>
        <w:rPr>
          <w:rFonts w:hint="eastAsia"/>
          <w:szCs w:val="24"/>
          <w:lang w:eastAsia="zh-CN"/>
        </w:rPr>
        <w:t>本用户技术要求书用于微生物限度仪的招标、采购，确认和验收。为确保本仪器设备在设计、制造技术及性能上达到使用要求。同时也是系统设计和验证可接受标准的依据。</w:t>
      </w:r>
    </w:p>
    <w:p>
      <w:pPr>
        <w:spacing w:line="440" w:lineRule="exact"/>
        <w:ind w:firstLine="420" w:firstLineChars="200"/>
        <w:rPr>
          <w:rFonts w:hint="eastAsia"/>
          <w:szCs w:val="24"/>
          <w:lang w:eastAsia="zh-CN"/>
        </w:rPr>
      </w:pPr>
    </w:p>
    <w:p>
      <w:pPr>
        <w:spacing w:line="440" w:lineRule="exact"/>
        <w:ind w:firstLine="420" w:firstLineChars="200"/>
        <w:rPr>
          <w:rFonts w:hint="default" w:eastAsiaTheme="minorEastAsia"/>
          <w:szCs w:val="24"/>
          <w:lang w:val="en-US" w:eastAsia="zh-CN"/>
        </w:rPr>
      </w:pPr>
      <w:r>
        <w:rPr>
          <w:rFonts w:hint="eastAsia"/>
          <w:szCs w:val="24"/>
          <w:lang w:eastAsia="zh-CN"/>
        </w:rPr>
        <w:t>采购数量：</w:t>
      </w:r>
      <w:r>
        <w:rPr>
          <w:rFonts w:hint="eastAsia"/>
          <w:szCs w:val="24"/>
          <w:lang w:val="en-US" w:eastAsia="zh-CN"/>
        </w:rPr>
        <w:t>1台</w:t>
      </w:r>
    </w:p>
    <w:p>
      <w:pPr>
        <w:pStyle w:val="2"/>
        <w:numPr>
          <w:ilvl w:val="0"/>
          <w:numId w:val="1"/>
        </w:numPr>
        <w:bidi w:val="0"/>
        <w:rPr>
          <w:rFonts w:hint="eastAsia"/>
          <w:sz w:val="28"/>
          <w:szCs w:val="28"/>
        </w:rPr>
      </w:pPr>
      <w:bookmarkStart w:id="2" w:name="_Toc30757"/>
      <w:r>
        <w:rPr>
          <w:rFonts w:hint="eastAsia"/>
          <w:sz w:val="28"/>
          <w:szCs w:val="28"/>
        </w:rPr>
        <w:t>一般说明</w:t>
      </w:r>
      <w:bookmarkEnd w:id="2"/>
    </w:p>
    <w:p>
      <w:pPr>
        <w:numPr>
          <w:numId w:val="0"/>
        </w:numPr>
        <w:spacing w:line="440" w:lineRule="exact"/>
        <w:ind w:firstLine="420" w:firstLineChars="200"/>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本URS</w:t>
      </w:r>
      <w:r>
        <w:rPr>
          <w:rFonts w:hint="eastAsia"/>
          <w:color w:val="000000" w:themeColor="text1"/>
          <w:szCs w:val="24"/>
          <w14:textFill>
            <w14:solidFill>
              <w14:schemeClr w14:val="tx1"/>
            </w14:solidFill>
          </w14:textFill>
        </w:rPr>
        <w:t>适用于公司微生物限度仪的选型、采购、验收、验证和维护等过程的需要。</w:t>
      </w:r>
    </w:p>
    <w:p>
      <w:pPr>
        <w:numPr>
          <w:numId w:val="0"/>
        </w:numPr>
        <w:spacing w:line="440" w:lineRule="exact"/>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文件中“必须”条款，需供方仪器必须达到部分，供方不可用其它技术代替。“期望”条款，供方仪器可采用不同的技术，但最终需符合使用方的需求。本URS中用户仅提出仪器的基本技术要求，并未涵盖和限制供方仪器具有更加完善的功能、配置和性能、更优异的部件和更高水平的控制系统。供方应在满足本URS的前提下，提供供方能够达到的更高标准和功能的高质量仪器及其相关服务。供方的仪器应满足中国有关设计、制造、安全、环保等规程、规范和强制性标准要求。</w:t>
      </w:r>
    </w:p>
    <w:p>
      <w:pPr>
        <w:pStyle w:val="2"/>
        <w:numPr>
          <w:ilvl w:val="0"/>
          <w:numId w:val="1"/>
        </w:numPr>
        <w:bidi w:val="0"/>
        <w:rPr>
          <w:rFonts w:hint="eastAsia"/>
          <w:sz w:val="28"/>
          <w:szCs w:val="28"/>
          <w:lang w:eastAsia="zh-CN"/>
        </w:rPr>
      </w:pPr>
      <w:bookmarkStart w:id="3" w:name="_Toc28944"/>
      <w:r>
        <w:rPr>
          <w:rFonts w:hint="eastAsia"/>
          <w:sz w:val="28"/>
          <w:szCs w:val="28"/>
          <w:lang w:eastAsia="zh-CN"/>
        </w:rPr>
        <w:t>系统要求</w:t>
      </w:r>
      <w:bookmarkEnd w:id="3"/>
    </w:p>
    <w:p>
      <w:pPr>
        <w:numPr>
          <w:numId w:val="0"/>
        </w:numPr>
        <w:spacing w:line="440" w:lineRule="exact"/>
        <w:ind w:leftChars="0"/>
        <w:rPr>
          <w:rFonts w:hint="eastAsia"/>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该系统用于微生物限度的检测，且仪器的设计、制造及所进行的确认，应能确保符合美国FDA，欧洲GMP，中国GMP的要求。</w:t>
      </w:r>
    </w:p>
    <w:p>
      <w:pPr>
        <w:spacing w:line="440" w:lineRule="exact"/>
        <w:ind w:firstLine="420" w:firstLineChars="200"/>
        <w:rPr>
          <w:color w:val="000000" w:themeColor="text1"/>
          <w:szCs w:val="24"/>
          <w14:textFill>
            <w14:solidFill>
              <w14:schemeClr w14:val="tx1"/>
            </w14:solidFill>
          </w14:textFill>
        </w:rPr>
      </w:pPr>
    </w:p>
    <w:p>
      <w:pPr>
        <w:tabs>
          <w:tab w:val="left" w:pos="0"/>
        </w:tabs>
        <w:adjustRightInd w:val="0"/>
        <w:spacing w:line="480" w:lineRule="exact"/>
        <w:ind w:right="-55" w:rightChars="-26" w:firstLine="420" w:firstLineChars="200"/>
        <w:rPr>
          <w:rFonts w:cs="宋体"/>
          <w:bCs/>
          <w:szCs w:val="24"/>
        </w:rPr>
      </w:pPr>
    </w:p>
    <w:p>
      <w:pPr>
        <w:tabs>
          <w:tab w:val="left" w:pos="0"/>
        </w:tabs>
        <w:adjustRightInd w:val="0"/>
        <w:spacing w:line="480" w:lineRule="exact"/>
        <w:ind w:right="-55" w:rightChars="-26" w:firstLine="420" w:firstLineChars="200"/>
        <w:rPr>
          <w:rFonts w:cs="宋体"/>
          <w:bCs/>
          <w:szCs w:val="24"/>
        </w:rPr>
      </w:pPr>
    </w:p>
    <w:p>
      <w:pPr>
        <w:tabs>
          <w:tab w:val="left" w:pos="0"/>
        </w:tabs>
        <w:adjustRightInd w:val="0"/>
        <w:spacing w:line="480" w:lineRule="exact"/>
        <w:ind w:right="-55" w:rightChars="-26" w:firstLine="420" w:firstLineChars="200"/>
        <w:rPr>
          <w:rFonts w:cs="宋体"/>
          <w:bCs/>
          <w:szCs w:val="24"/>
        </w:rPr>
      </w:pPr>
    </w:p>
    <w:p>
      <w:pPr>
        <w:pStyle w:val="3"/>
        <w:numPr>
          <w:ilvl w:val="0"/>
          <w:numId w:val="2"/>
        </w:numPr>
        <w:bidi w:val="0"/>
        <w:ind w:left="0" w:leftChars="0" w:firstLine="0" w:firstLineChars="0"/>
        <w:rPr>
          <w:rFonts w:hint="eastAsia"/>
        </w:rPr>
      </w:pPr>
      <w:bookmarkStart w:id="4" w:name="_Toc87429925"/>
      <w:bookmarkStart w:id="5" w:name="_Toc12104"/>
      <w:r>
        <w:rPr>
          <w:rFonts w:hint="eastAsia"/>
        </w:rPr>
        <w:t>缩写与定义</w:t>
      </w:r>
      <w:bookmarkEnd w:id="4"/>
      <w:bookmarkEnd w:id="5"/>
    </w:p>
    <w:p>
      <w:pPr>
        <w:adjustRightInd w:val="0"/>
        <w:spacing w:line="480" w:lineRule="exact"/>
        <w:ind w:left="689" w:leftChars="228" w:right="-695" w:rightChars="-331" w:hanging="210" w:hangingChars="100"/>
        <w:rPr>
          <w:rFonts w:cs="宋体"/>
          <w:bCs/>
          <w:szCs w:val="24"/>
        </w:rPr>
      </w:pPr>
      <w:r>
        <w:rPr>
          <w:rFonts w:hint="eastAsia" w:cs="宋体"/>
          <w:bCs/>
          <w:szCs w:val="24"/>
        </w:rPr>
        <w:t>解释说明本</w:t>
      </w:r>
      <w:r>
        <w:rPr>
          <w:rFonts w:cs="宋体"/>
          <w:bCs/>
          <w:szCs w:val="24"/>
        </w:rPr>
        <w:t>URS</w:t>
      </w:r>
      <w:r>
        <w:rPr>
          <w:rFonts w:hint="eastAsia" w:cs="宋体"/>
          <w:bCs/>
          <w:szCs w:val="24"/>
        </w:rPr>
        <w:t>中涉及到的关键词及缩写的意义。</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8" w:type="pct"/>
            <w:shd w:val="clear" w:color="auto" w:fill="C0C0C0"/>
            <w:vAlign w:val="center"/>
          </w:tcPr>
          <w:p>
            <w:pPr>
              <w:pStyle w:val="22"/>
              <w:adjustRightInd w:val="0"/>
              <w:snapToGrid w:val="0"/>
              <w:spacing w:before="0" w:after="0" w:line="400" w:lineRule="exact"/>
              <w:rPr>
                <w:b/>
                <w:bCs w:val="0"/>
                <w:lang w:eastAsia="zh-CN"/>
              </w:rPr>
            </w:pPr>
            <w:r>
              <w:rPr>
                <w:rFonts w:hAnsi="宋体"/>
                <w:b/>
                <w:bCs w:val="0"/>
                <w:lang w:eastAsia="zh-CN"/>
              </w:rPr>
              <w:t>缩略语</w:t>
            </w:r>
          </w:p>
        </w:tc>
        <w:tc>
          <w:tcPr>
            <w:tcW w:w="3652" w:type="pct"/>
            <w:shd w:val="clear" w:color="auto" w:fill="C0C0C0"/>
            <w:vAlign w:val="center"/>
          </w:tcPr>
          <w:p>
            <w:pPr>
              <w:pStyle w:val="22"/>
              <w:adjustRightInd w:val="0"/>
              <w:snapToGrid w:val="0"/>
              <w:spacing w:before="0" w:after="0" w:line="400" w:lineRule="exact"/>
              <w:rPr>
                <w:b/>
                <w:bCs w:val="0"/>
                <w:lang w:eastAsia="zh-CN"/>
              </w:rPr>
            </w:pPr>
            <w:r>
              <w:rPr>
                <w:rFonts w:hAnsi="宋体"/>
                <w:b/>
                <w:bCs w:val="0"/>
                <w:lang w:eastAsia="zh-CN"/>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IQ</w:t>
            </w:r>
          </w:p>
        </w:tc>
        <w:tc>
          <w:tcPr>
            <w:tcW w:w="3652" w:type="pct"/>
            <w:vAlign w:val="center"/>
          </w:tcPr>
          <w:p>
            <w:pPr>
              <w:rPr>
                <w:rFonts w:ascii="Times New Roman" w:hAnsi="Times New Roman" w:cs="Times New Roman"/>
              </w:rPr>
            </w:pPr>
            <w:r>
              <w:rPr>
                <w:rFonts w:ascii="Times New Roman" w:hAnsi="Times New Roman" w:cs="Times New Roman"/>
                <w:color w:val="000000"/>
              </w:rPr>
              <w:t>Installation Qualification</w:t>
            </w:r>
          </w:p>
          <w:p>
            <w:pPr>
              <w:rPr>
                <w:rFonts w:ascii="Times New Roman" w:hAnsi="Times New Roman" w:cs="Times New Roman"/>
              </w:rPr>
            </w:pPr>
            <w:r>
              <w:rPr>
                <w:rFonts w:ascii="Times New Roman" w:hAnsi="宋体" w:cs="Times New Roman"/>
              </w:rPr>
              <w:t>安装确认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OQ</w:t>
            </w:r>
          </w:p>
        </w:tc>
        <w:tc>
          <w:tcPr>
            <w:tcW w:w="3652" w:type="pct"/>
            <w:vAlign w:val="center"/>
          </w:tcPr>
          <w:p>
            <w:pPr>
              <w:rPr>
                <w:rFonts w:ascii="Times New Roman" w:hAnsi="Times New Roman" w:cs="Times New Roman"/>
                <w:color w:val="000000"/>
              </w:rPr>
            </w:pPr>
            <w:r>
              <w:rPr>
                <w:rFonts w:ascii="Times New Roman" w:hAnsi="Times New Roman" w:cs="Times New Roman"/>
                <w:color w:val="000000"/>
              </w:rPr>
              <w:t>Operational Qualification</w:t>
            </w:r>
          </w:p>
          <w:p>
            <w:pPr>
              <w:rPr>
                <w:rFonts w:ascii="Times New Roman" w:hAnsi="Times New Roman" w:cs="Times New Roman"/>
              </w:rPr>
            </w:pPr>
            <w:r>
              <w:rPr>
                <w:rFonts w:ascii="Times New Roman" w:hAnsi="宋体" w:cs="Times New Roman"/>
              </w:rPr>
              <w:t>操作确认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PQ</w:t>
            </w:r>
          </w:p>
        </w:tc>
        <w:tc>
          <w:tcPr>
            <w:tcW w:w="3652" w:type="pct"/>
            <w:vAlign w:val="center"/>
          </w:tcPr>
          <w:p>
            <w:pPr>
              <w:rPr>
                <w:rFonts w:ascii="Times New Roman" w:hAnsi="Times New Roman" w:cs="Times New Roman"/>
              </w:rPr>
            </w:pPr>
            <w:r>
              <w:rPr>
                <w:rFonts w:ascii="Times New Roman" w:hAnsi="Times New Roman" w:cs="Times New Roman"/>
                <w:color w:val="000000"/>
              </w:rPr>
              <w:t>Performance Qualification</w:t>
            </w:r>
          </w:p>
          <w:p>
            <w:pPr>
              <w:rPr>
                <w:rFonts w:ascii="Times New Roman" w:hAnsi="Times New Roman" w:cs="Times New Roman"/>
              </w:rPr>
            </w:pPr>
            <w:r>
              <w:rPr>
                <w:rFonts w:ascii="Times New Roman" w:hAnsi="宋体" w:cs="Times New Roman"/>
              </w:rPr>
              <w:t>性能确认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GMP</w:t>
            </w:r>
          </w:p>
        </w:tc>
        <w:tc>
          <w:tcPr>
            <w:tcW w:w="3652" w:type="pct"/>
            <w:vAlign w:val="center"/>
          </w:tcPr>
          <w:p>
            <w:pPr>
              <w:rPr>
                <w:rFonts w:ascii="Times New Roman" w:hAnsi="Times New Roman" w:cs="Times New Roman"/>
              </w:rPr>
            </w:pPr>
            <w:r>
              <w:rPr>
                <w:rFonts w:ascii="Times New Roman" w:hAnsi="Times New Roman" w:cs="Times New Roman"/>
                <w:color w:val="000000"/>
              </w:rPr>
              <w:t>Good Manufacture Practice</w:t>
            </w:r>
          </w:p>
          <w:p>
            <w:pPr>
              <w:rPr>
                <w:rFonts w:ascii="Times New Roman" w:hAnsi="Times New Roman" w:cs="Times New Roman"/>
              </w:rPr>
            </w:pPr>
            <w:r>
              <w:rPr>
                <w:rFonts w:ascii="Times New Roman" w:hAnsi="宋体" w:cs="Times New Roman"/>
              </w:rPr>
              <w:t>药品生产质量管理规范（中国）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b/>
              </w:rPr>
            </w:pPr>
            <w:r>
              <w:rPr>
                <w:rFonts w:ascii="Times New Roman" w:hAnsi="Times New Roman" w:cs="Times New Roman"/>
              </w:rPr>
              <w:t>cGMP</w:t>
            </w:r>
          </w:p>
        </w:tc>
        <w:tc>
          <w:tcPr>
            <w:tcW w:w="3652" w:type="pct"/>
            <w:vAlign w:val="center"/>
          </w:tcPr>
          <w:p>
            <w:pPr>
              <w:rPr>
                <w:rFonts w:ascii="Times New Roman" w:hAnsi="Times New Roman" w:cs="Times New Roman"/>
              </w:rPr>
            </w:pPr>
            <w:r>
              <w:rPr>
                <w:rFonts w:ascii="Times New Roman" w:hAnsi="Times New Roman" w:cs="Times New Roman"/>
              </w:rPr>
              <w:t>Current Good Manufacturing Practice</w:t>
            </w:r>
          </w:p>
          <w:p>
            <w:pPr>
              <w:rPr>
                <w:rFonts w:ascii="Times New Roman" w:hAnsi="Times New Roman" w:cs="Times New Roman"/>
              </w:rPr>
            </w:pPr>
            <w:r>
              <w:rPr>
                <w:rFonts w:ascii="Times New Roman" w:hAnsi="宋体" w:cs="Times New Roman"/>
              </w:rPr>
              <w:t>现行药品生产质量管理规范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FDA</w:t>
            </w:r>
          </w:p>
        </w:tc>
        <w:tc>
          <w:tcPr>
            <w:tcW w:w="3652" w:type="pct"/>
            <w:vAlign w:val="center"/>
          </w:tcPr>
          <w:p>
            <w:pPr>
              <w:rPr>
                <w:rFonts w:ascii="Times New Roman" w:hAnsi="Times New Roman" w:cs="Times New Roman"/>
              </w:rPr>
            </w:pPr>
            <w:r>
              <w:rPr>
                <w:rFonts w:ascii="Times New Roman" w:hAnsi="Times New Roman" w:cs="Times New Roman"/>
                <w:color w:val="000000"/>
              </w:rPr>
              <w:t>US Food and Drug Administration</w:t>
            </w:r>
          </w:p>
          <w:p>
            <w:pPr>
              <w:rPr>
                <w:rFonts w:ascii="Times New Roman" w:hAnsi="Times New Roman" w:cs="Times New Roman"/>
              </w:rPr>
            </w:pPr>
            <w:r>
              <w:rPr>
                <w:rFonts w:ascii="Times New Roman" w:hAnsi="宋体" w:cs="Times New Roman"/>
              </w:rPr>
              <w:t>食品和药品管理局（美国）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CFDA</w:t>
            </w:r>
          </w:p>
        </w:tc>
        <w:tc>
          <w:tcPr>
            <w:tcW w:w="3652" w:type="pct"/>
            <w:vAlign w:val="center"/>
          </w:tcPr>
          <w:p>
            <w:pPr>
              <w:rPr>
                <w:rFonts w:ascii="Times New Roman" w:hAnsi="Times New Roman" w:cs="Times New Roman"/>
              </w:rPr>
            </w:pPr>
            <w:r>
              <w:rPr>
                <w:rFonts w:ascii="Times New Roman" w:hAnsi="Times New Roman" w:cs="Times New Roman"/>
                <w:color w:val="000000"/>
              </w:rPr>
              <w:t>China Food and Drug Administration</w:t>
            </w:r>
          </w:p>
          <w:p>
            <w:pPr>
              <w:rPr>
                <w:rFonts w:ascii="Times New Roman" w:hAnsi="Times New Roman" w:cs="Times New Roman"/>
              </w:rPr>
            </w:pPr>
            <w:r>
              <w:rPr>
                <w:rFonts w:ascii="Times New Roman" w:hAnsi="宋体" w:cs="Times New Roman"/>
              </w:rPr>
              <w:t>国家食品药品监督管理局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pStyle w:val="22"/>
              <w:adjustRightInd w:val="0"/>
              <w:snapToGrid w:val="0"/>
              <w:spacing w:before="0" w:after="0"/>
              <w:rPr>
                <w:lang w:eastAsia="zh-CN"/>
              </w:rPr>
            </w:pPr>
            <w:r>
              <w:rPr>
                <w:lang w:eastAsia="zh-CN"/>
              </w:rPr>
              <w:t>URS</w:t>
            </w:r>
          </w:p>
        </w:tc>
        <w:tc>
          <w:tcPr>
            <w:tcW w:w="3652" w:type="pct"/>
            <w:vAlign w:val="center"/>
          </w:tcPr>
          <w:p>
            <w:pPr>
              <w:pStyle w:val="22"/>
              <w:adjustRightInd w:val="0"/>
              <w:snapToGrid w:val="0"/>
              <w:spacing w:before="0" w:after="0"/>
              <w:jc w:val="both"/>
              <w:rPr>
                <w:lang w:eastAsia="zh-CN"/>
              </w:rPr>
            </w:pPr>
            <w:r>
              <w:t>User Requirement Specification</w:t>
            </w:r>
            <w:r>
              <w:rPr>
                <w:lang w:eastAsia="zh-CN"/>
              </w:rPr>
              <w:br w:type="textWrapping"/>
            </w:r>
            <w:r>
              <w:rPr>
                <w:rFonts w:hAnsi="宋体"/>
                <w:lang w:eastAsia="zh-CN"/>
              </w:rPr>
              <w:t>用户需求说明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pStyle w:val="22"/>
              <w:adjustRightInd w:val="0"/>
              <w:snapToGrid w:val="0"/>
              <w:spacing w:before="0" w:after="0"/>
              <w:rPr>
                <w:lang w:eastAsia="zh-CN"/>
              </w:rPr>
            </w:pPr>
            <w:r>
              <w:rPr>
                <w:lang w:eastAsia="zh-CN"/>
              </w:rPr>
              <w:t>SOP</w:t>
            </w:r>
          </w:p>
        </w:tc>
        <w:tc>
          <w:tcPr>
            <w:tcW w:w="3652" w:type="pct"/>
            <w:vAlign w:val="center"/>
          </w:tcPr>
          <w:p>
            <w:pPr>
              <w:rPr>
                <w:rFonts w:ascii="Times New Roman" w:hAnsi="Times New Roman" w:cs="Times New Roman"/>
                <w:bCs/>
              </w:rPr>
            </w:pPr>
            <w:r>
              <w:rPr>
                <w:rFonts w:ascii="Times New Roman" w:hAnsi="Times New Roman" w:cs="Times New Roman"/>
                <w:bCs/>
              </w:rPr>
              <w:t>Standard Operating Procedure</w:t>
            </w:r>
          </w:p>
          <w:p>
            <w:pPr>
              <w:pStyle w:val="22"/>
              <w:adjustRightInd w:val="0"/>
              <w:snapToGrid w:val="0"/>
              <w:spacing w:before="0" w:after="0"/>
              <w:jc w:val="both"/>
            </w:pPr>
            <w:r>
              <w:rPr>
                <w:rFonts w:hAnsi="宋体"/>
                <w:bCs w:val="0"/>
              </w:rPr>
              <w:t>标准操作规程</w:t>
            </w:r>
          </w:p>
        </w:tc>
      </w:tr>
    </w:tbl>
    <w:p>
      <w:pPr>
        <w:pStyle w:val="3"/>
        <w:numPr>
          <w:ilvl w:val="0"/>
          <w:numId w:val="2"/>
        </w:numPr>
        <w:bidi w:val="0"/>
        <w:ind w:left="0" w:leftChars="0" w:firstLine="0" w:firstLineChars="0"/>
        <w:rPr>
          <w:rFonts w:hint="eastAsia"/>
        </w:rPr>
      </w:pPr>
      <w:bookmarkStart w:id="6" w:name="_Toc25641"/>
      <w:r>
        <w:rPr>
          <w:rFonts w:hint="eastAsia"/>
        </w:rPr>
        <w:t>关键技术指标和功能要求</w:t>
      </w:r>
      <w:bookmarkEnd w:id="6"/>
    </w:p>
    <w:tbl>
      <w:tblPr>
        <w:tblStyle w:val="17"/>
        <w:tblW w:w="9378"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6"/>
        <w:gridCol w:w="6200"/>
        <w:gridCol w:w="1452"/>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726" w:type="dxa"/>
            <w:tcBorders>
              <w:top w:val="double" w:color="auto" w:sz="4" w:space="0"/>
              <w:left w:val="double" w:color="auto" w:sz="4" w:space="0"/>
              <w:bottom w:val="double" w:color="auto" w:sz="4" w:space="0"/>
              <w:right w:val="nil"/>
            </w:tcBorders>
            <w:shd w:val="clear" w:color="auto" w:fill="A5A5A5" w:themeFill="background1" w:themeFillShade="A6"/>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需求</w:t>
            </w:r>
            <w:r>
              <w:rPr>
                <w:rFonts w:ascii="宋体" w:hAnsi="宋体"/>
                <w:b w:val="0"/>
                <w:bCs/>
                <w:caps w:val="0"/>
                <w:kern w:val="2"/>
                <w:sz w:val="21"/>
                <w:szCs w:val="21"/>
                <w:lang w:val="en-US" w:eastAsia="zh-CN"/>
              </w:rPr>
              <w:t>编号</w:t>
            </w:r>
          </w:p>
        </w:tc>
        <w:tc>
          <w:tcPr>
            <w:tcW w:w="6200" w:type="dxa"/>
            <w:tcBorders>
              <w:top w:val="double" w:color="auto" w:sz="4" w:space="0"/>
              <w:left w:val="nil"/>
              <w:bottom w:val="double" w:color="auto" w:sz="4" w:space="0"/>
              <w:right w:val="nil"/>
            </w:tcBorders>
            <w:shd w:val="clear" w:color="auto" w:fill="A5A5A5" w:themeFill="background1" w:themeFillShade="A6"/>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452" w:type="dxa"/>
            <w:tcBorders>
              <w:top w:val="double" w:color="auto" w:sz="4" w:space="0"/>
              <w:left w:val="nil"/>
              <w:bottom w:val="double" w:color="auto" w:sz="4" w:space="0"/>
              <w:right w:val="double" w:color="auto" w:sz="4" w:space="0"/>
            </w:tcBorders>
            <w:shd w:val="clear" w:color="auto" w:fill="A5A5A5" w:themeFill="background1" w:themeFillShade="A6"/>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hint="eastAsia" w:ascii="宋体" w:hAnsi="宋体"/>
                <w:b w:val="0"/>
                <w:bCs/>
                <w:caps w:val="0"/>
                <w:kern w:val="2"/>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378" w:type="dxa"/>
            <w:gridSpan w:val="3"/>
            <w:tcBorders>
              <w:top w:val="double" w:color="auto" w:sz="4" w:space="0"/>
              <w:left w:val="double" w:color="auto" w:sz="4" w:space="0"/>
              <w:bottom w:val="single" w:color="auto" w:sz="4" w:space="0"/>
              <w:right w:val="double" w:color="auto" w:sz="4" w:space="0"/>
            </w:tcBorders>
            <w:shd w:val="clear" w:color="auto" w:fill="D8D8D8" w:themeFill="background1" w:themeFillShade="D9"/>
          </w:tcPr>
          <w:p>
            <w:pPr>
              <w:rPr>
                <w:rFonts w:ascii="Times New Roman" w:hAnsi="Times New Roman" w:eastAsia="宋体" w:cs="Times New Roman"/>
                <w:kern w:val="0"/>
                <w:sz w:val="21"/>
                <w:szCs w:val="21"/>
              </w:rPr>
            </w:pPr>
            <w:bookmarkStart w:id="7" w:name="OLE_LINK7"/>
            <w:bookmarkStart w:id="8" w:name="OLE_LINK6"/>
            <w:r>
              <w:rPr>
                <w:rFonts w:ascii="Times New Roman" w:hAnsi="宋体" w:eastAsia="宋体" w:cs="Times New Roman"/>
                <w:b/>
                <w:kern w:val="0"/>
                <w:sz w:val="21"/>
                <w:szCs w:val="21"/>
              </w:rPr>
              <w:t>总体要求</w:t>
            </w:r>
            <w:bookmarkEnd w:id="7"/>
            <w:bookmarkEnd w:id="8"/>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ascii="Times New Roman" w:hAnsi="宋体" w:eastAsia="宋体" w:cs="Times New Roman"/>
                <w:kern w:val="0"/>
                <w:sz w:val="22"/>
                <w:szCs w:val="22"/>
              </w:rPr>
              <w:t>各部件均需提供完整的设计、施工和验证文件，满足中国</w:t>
            </w:r>
            <w:r>
              <w:rPr>
                <w:rFonts w:ascii="Times New Roman" w:hAnsi="Times New Roman" w:eastAsia="宋体" w:cs="Times New Roman"/>
                <w:kern w:val="0"/>
                <w:sz w:val="22"/>
                <w:szCs w:val="22"/>
              </w:rPr>
              <w:t>GMP</w:t>
            </w:r>
            <w:r>
              <w:rPr>
                <w:rFonts w:ascii="Times New Roman" w:hAnsi="宋体" w:eastAsia="宋体" w:cs="Times New Roman"/>
                <w:kern w:val="0"/>
                <w:sz w:val="22"/>
                <w:szCs w:val="22"/>
              </w:rPr>
              <w:t>、欧洲</w:t>
            </w:r>
            <w:r>
              <w:rPr>
                <w:rFonts w:ascii="Times New Roman" w:hAnsi="Times New Roman" w:eastAsia="宋体" w:cs="Times New Roman"/>
                <w:kern w:val="0"/>
                <w:sz w:val="22"/>
                <w:szCs w:val="22"/>
              </w:rPr>
              <w:t>GMP</w:t>
            </w:r>
            <w:r>
              <w:rPr>
                <w:rFonts w:ascii="Times New Roman" w:hAnsi="宋体" w:eastAsia="宋体" w:cs="Times New Roman"/>
                <w:kern w:val="0"/>
                <w:sz w:val="22"/>
                <w:szCs w:val="22"/>
              </w:rPr>
              <w:t>、</w:t>
            </w:r>
            <w:r>
              <w:rPr>
                <w:rFonts w:ascii="Times New Roman" w:hAnsi="Times New Roman" w:eastAsia="宋体" w:cs="Times New Roman"/>
                <w:kern w:val="0"/>
                <w:sz w:val="22"/>
                <w:szCs w:val="22"/>
              </w:rPr>
              <w:t>FDA cGMP</w:t>
            </w:r>
            <w:r>
              <w:rPr>
                <w:rFonts w:ascii="Times New Roman" w:hAnsi="宋体" w:eastAsia="宋体" w:cs="Times New Roman"/>
                <w:kern w:val="0"/>
                <w:sz w:val="22"/>
                <w:szCs w:val="22"/>
              </w:rPr>
              <w:t>认证和国标对水样的检测要求；</w:t>
            </w:r>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bookmarkStart w:id="9" w:name="_Toc370046890"/>
            <w:r>
              <w:rPr>
                <w:rFonts w:ascii="Times New Roman" w:hAnsi="宋体" w:eastAsia="宋体" w:cs="Times New Roman"/>
                <w:kern w:val="0"/>
                <w:sz w:val="22"/>
                <w:szCs w:val="22"/>
              </w:rPr>
              <w:t>供应商提出需用户配备的公用工程（水、电、气等）要求，由用户配备。</w:t>
            </w:r>
            <w:bookmarkEnd w:id="9"/>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78" w:type="dxa"/>
            <w:gridSpan w:val="3"/>
            <w:tcBorders>
              <w:top w:val="single" w:color="auto" w:sz="4" w:space="0"/>
              <w:left w:val="double" w:color="auto" w:sz="4" w:space="0"/>
              <w:bottom w:val="single" w:color="auto" w:sz="4" w:space="0"/>
              <w:right w:val="double" w:color="auto" w:sz="4" w:space="0"/>
            </w:tcBorders>
            <w:shd w:val="clear" w:color="auto" w:fill="D8D8D8" w:themeFill="background1" w:themeFillShade="D9"/>
          </w:tcPr>
          <w:p>
            <w:pPr>
              <w:rPr>
                <w:rFonts w:ascii="Times New Roman" w:hAnsi="宋体" w:eastAsia="宋体" w:cs="Times New Roman"/>
                <w:b/>
                <w:kern w:val="0"/>
                <w:sz w:val="22"/>
                <w:szCs w:val="22"/>
              </w:rPr>
            </w:pPr>
            <w:r>
              <w:rPr>
                <w:rFonts w:ascii="Times New Roman" w:hAnsi="宋体" w:eastAsia="宋体" w:cs="Times New Roman"/>
                <w:b/>
                <w:kern w:val="0"/>
                <w:sz w:val="22"/>
                <w:szCs w:val="22"/>
              </w:rPr>
              <w:t>机械要求</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hint="eastAsia" w:ascii="Times New Roman" w:hAnsi="宋体" w:eastAsia="宋体" w:cs="Times New Roman"/>
                <w:kern w:val="0"/>
                <w:sz w:val="22"/>
                <w:szCs w:val="22"/>
              </w:rPr>
              <w:t>微生物</w:t>
            </w:r>
            <w:r>
              <w:rPr>
                <w:rFonts w:ascii="Times New Roman" w:hAnsi="宋体" w:eastAsia="宋体" w:cs="Times New Roman"/>
                <w:kern w:val="0"/>
                <w:sz w:val="22"/>
                <w:szCs w:val="22"/>
              </w:rPr>
              <w:t>限度</w:t>
            </w:r>
            <w:r>
              <w:rPr>
                <w:rFonts w:hint="eastAsia" w:ascii="Times New Roman" w:hAnsi="宋体" w:eastAsia="宋体" w:cs="Times New Roman"/>
                <w:kern w:val="0"/>
                <w:sz w:val="22"/>
                <w:szCs w:val="22"/>
              </w:rPr>
              <w:t>过滤系统一</w:t>
            </w:r>
            <w:r>
              <w:rPr>
                <w:rFonts w:ascii="Times New Roman" w:hAnsi="宋体" w:eastAsia="宋体" w:cs="Times New Roman"/>
                <w:kern w:val="0"/>
                <w:sz w:val="22"/>
                <w:szCs w:val="22"/>
              </w:rPr>
              <w:t>套</w:t>
            </w:r>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内置</w:t>
            </w:r>
            <w:r>
              <w:rPr>
                <w:rFonts w:ascii="Times New Roman" w:hAnsi="Times New Roman" w:eastAsia="宋体" w:cs="Times New Roman"/>
                <w:kern w:val="0"/>
                <w:sz w:val="22"/>
                <w:szCs w:val="22"/>
              </w:rPr>
              <w:t>真空泵，无需</w:t>
            </w:r>
            <w:r>
              <w:rPr>
                <w:rFonts w:hint="eastAsia" w:ascii="Times New Roman" w:hAnsi="Times New Roman" w:eastAsia="宋体" w:cs="Times New Roman"/>
                <w:kern w:val="0"/>
                <w:sz w:val="22"/>
                <w:szCs w:val="22"/>
              </w:rPr>
              <w:t>外</w:t>
            </w:r>
            <w:r>
              <w:rPr>
                <w:rFonts w:ascii="Times New Roman" w:hAnsi="Times New Roman" w:eastAsia="宋体" w:cs="Times New Roman"/>
                <w:kern w:val="0"/>
                <w:sz w:val="22"/>
                <w:szCs w:val="22"/>
              </w:rPr>
              <w:t>接真空源</w:t>
            </w:r>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仪器上配套有两个过滤泵</w:t>
            </w:r>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分</w:t>
            </w:r>
            <w:r>
              <w:rPr>
                <w:rFonts w:ascii="Times New Roman" w:hAnsi="Times New Roman" w:eastAsia="宋体" w:cs="Times New Roman"/>
                <w:kern w:val="0"/>
                <w:sz w:val="22"/>
                <w:szCs w:val="22"/>
              </w:rPr>
              <w:t>离式</w:t>
            </w:r>
            <w:r>
              <w:rPr>
                <w:rFonts w:hint="eastAsia" w:ascii="Times New Roman" w:hAnsi="Times New Roman" w:eastAsia="宋体" w:cs="Times New Roman"/>
                <w:kern w:val="0"/>
                <w:sz w:val="22"/>
                <w:szCs w:val="22"/>
              </w:rPr>
              <w:t>泵</w:t>
            </w:r>
            <w:r>
              <w:rPr>
                <w:rFonts w:ascii="Times New Roman" w:hAnsi="Times New Roman" w:eastAsia="宋体" w:cs="Times New Roman"/>
                <w:kern w:val="0"/>
                <w:sz w:val="22"/>
                <w:szCs w:val="22"/>
              </w:rPr>
              <w:t>头，泵头通过</w:t>
            </w:r>
            <w:r>
              <w:rPr>
                <w:rFonts w:hint="eastAsia" w:ascii="Times New Roman" w:hAnsi="Times New Roman" w:eastAsia="宋体" w:cs="Times New Roman"/>
                <w:kern w:val="0"/>
                <w:sz w:val="22"/>
                <w:szCs w:val="22"/>
              </w:rPr>
              <w:t>卫生</w:t>
            </w:r>
            <w:r>
              <w:rPr>
                <w:rFonts w:ascii="Times New Roman" w:hAnsi="Times New Roman" w:eastAsia="宋体" w:cs="Times New Roman"/>
                <w:kern w:val="0"/>
                <w:sz w:val="22"/>
                <w:szCs w:val="22"/>
              </w:rPr>
              <w:t>级快接头与主体</w:t>
            </w:r>
            <w:r>
              <w:rPr>
                <w:rFonts w:hint="eastAsia" w:ascii="Times New Roman" w:hAnsi="Times New Roman" w:eastAsia="宋体" w:cs="Times New Roman"/>
                <w:kern w:val="0"/>
                <w:sz w:val="22"/>
                <w:szCs w:val="22"/>
              </w:rPr>
              <w:t>相连</w:t>
            </w:r>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kern w:val="0"/>
                <w:sz w:val="22"/>
                <w:szCs w:val="22"/>
                <w:shd w:val="clear" w:color="auto" w:fill="FFFFFF"/>
              </w:rPr>
            </w:pPr>
            <w:r>
              <w:rPr>
                <w:rFonts w:hint="eastAsia" w:ascii="Times New Roman" w:hAnsi="宋体" w:eastAsia="宋体" w:cs="Times New Roman"/>
                <w:color w:val="000000"/>
                <w:kern w:val="0"/>
                <w:sz w:val="22"/>
                <w:szCs w:val="22"/>
                <w:shd w:val="clear" w:color="auto" w:fill="FFFFFF"/>
              </w:rPr>
              <w:t>仪器及</w:t>
            </w:r>
            <w:r>
              <w:rPr>
                <w:rFonts w:ascii="Times New Roman" w:hAnsi="宋体" w:eastAsia="宋体" w:cs="Times New Roman"/>
                <w:color w:val="000000"/>
                <w:kern w:val="0"/>
                <w:sz w:val="22"/>
                <w:szCs w:val="22"/>
                <w:shd w:val="clear" w:color="auto" w:fill="FFFFFF"/>
              </w:rPr>
              <w:t>泵头</w:t>
            </w:r>
            <w:r>
              <w:rPr>
                <w:rFonts w:hint="eastAsia" w:ascii="Times New Roman" w:hAnsi="宋体" w:eastAsia="宋体" w:cs="Times New Roman"/>
                <w:color w:val="000000"/>
                <w:kern w:val="0"/>
                <w:sz w:val="22"/>
                <w:szCs w:val="22"/>
                <w:shd w:val="clear" w:color="auto" w:fill="FFFFFF"/>
              </w:rPr>
              <w:t>应满足</w:t>
            </w:r>
            <w:r>
              <w:rPr>
                <w:rFonts w:ascii="Times New Roman" w:hAnsi="宋体" w:eastAsia="宋体" w:cs="Times New Roman"/>
                <w:color w:val="000000"/>
                <w:kern w:val="0"/>
                <w:sz w:val="22"/>
                <w:szCs w:val="22"/>
                <w:shd w:val="clear" w:color="auto" w:fill="FFFFFF"/>
              </w:rPr>
              <w:t>使用一次性</w:t>
            </w:r>
            <w:r>
              <w:rPr>
                <w:rFonts w:hint="eastAsia" w:ascii="Times New Roman" w:hAnsi="宋体" w:eastAsia="宋体" w:cs="Times New Roman"/>
                <w:color w:val="000000"/>
                <w:kern w:val="0"/>
                <w:sz w:val="22"/>
                <w:szCs w:val="22"/>
                <w:shd w:val="clear" w:color="auto" w:fill="FFFFFF"/>
              </w:rPr>
              <w:t>耗材</w:t>
            </w:r>
            <w:r>
              <w:rPr>
                <w:rFonts w:ascii="Times New Roman" w:hAnsi="宋体" w:eastAsia="宋体" w:cs="Times New Roman"/>
                <w:color w:val="000000"/>
                <w:kern w:val="0"/>
                <w:sz w:val="22"/>
                <w:szCs w:val="22"/>
                <w:shd w:val="clear" w:color="auto" w:fill="FFFFFF"/>
              </w:rPr>
              <w:t>，重复使用耗材</w:t>
            </w:r>
            <w:r>
              <w:rPr>
                <w:rFonts w:hint="eastAsia" w:ascii="Times New Roman" w:hAnsi="宋体" w:eastAsia="宋体" w:cs="Times New Roman"/>
                <w:color w:val="000000"/>
                <w:kern w:val="0"/>
                <w:sz w:val="22"/>
                <w:szCs w:val="22"/>
                <w:shd w:val="clear" w:color="auto" w:fill="FFFFFF"/>
              </w:rPr>
              <w:t>等</w:t>
            </w:r>
            <w:r>
              <w:rPr>
                <w:rFonts w:ascii="Times New Roman" w:hAnsi="宋体" w:eastAsia="宋体" w:cs="Times New Roman"/>
                <w:color w:val="000000"/>
                <w:kern w:val="0"/>
                <w:sz w:val="22"/>
                <w:szCs w:val="22"/>
                <w:shd w:val="clear" w:color="auto" w:fill="FFFFFF"/>
              </w:rPr>
              <w:t>不用类型的耗材</w:t>
            </w:r>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宋体"/>
                <w:b w:val="0"/>
                <w:caps w:val="0"/>
                <w:color w:val="000000"/>
                <w:spacing w:val="-4"/>
                <w:sz w:val="21"/>
                <w:szCs w:val="21"/>
                <w:lang w:val="en-US" w:eastAsia="zh-CN"/>
              </w:rPr>
            </w:pPr>
            <w:r>
              <w:rPr>
                <w:rFonts w:hint="eastAsia"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cs="Times New Roman"/>
                <w:color w:val="000000"/>
                <w:kern w:val="0"/>
                <w:sz w:val="22"/>
                <w:szCs w:val="22"/>
                <w:shd w:val="clear" w:color="auto" w:fill="FFFFFF"/>
              </w:rPr>
            </w:pPr>
            <w:r>
              <w:rPr>
                <w:rFonts w:hint="eastAsia" w:ascii="Times New Roman" w:hAnsi="宋体" w:eastAsia="宋体" w:cs="Times New Roman"/>
                <w:color w:val="000000"/>
                <w:kern w:val="0"/>
                <w:sz w:val="22"/>
                <w:szCs w:val="22"/>
                <w:shd w:val="clear" w:color="auto" w:fill="FFFFFF"/>
              </w:rPr>
              <w:t>仪器的设计符合人体工程学，高度低于100mm</w:t>
            </w:r>
            <w:r>
              <w:rPr>
                <w:rFonts w:ascii="Times New Roman" w:hAnsi="宋体" w:eastAsia="宋体" w:cs="Times New Roman"/>
                <w:color w:val="000000"/>
                <w:kern w:val="0"/>
                <w:sz w:val="22"/>
                <w:szCs w:val="22"/>
                <w:shd w:val="clear" w:color="auto" w:fill="FFFFFF"/>
              </w:rPr>
              <w:t>(</w:t>
            </w:r>
            <w:r>
              <w:rPr>
                <w:rFonts w:hint="eastAsia" w:ascii="Times New Roman" w:hAnsi="宋体" w:eastAsia="宋体" w:cs="Times New Roman"/>
                <w:color w:val="000000"/>
                <w:kern w:val="0"/>
                <w:sz w:val="22"/>
                <w:szCs w:val="22"/>
                <w:shd w:val="clear" w:color="auto" w:fill="FFFFFF"/>
              </w:rPr>
              <w:t>不带滤杯)</w:t>
            </w:r>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cs="Times New Roman"/>
                <w:color w:val="000000"/>
                <w:kern w:val="0"/>
                <w:sz w:val="22"/>
                <w:szCs w:val="22"/>
                <w:shd w:val="clear" w:color="auto" w:fill="FFFFFF"/>
              </w:rPr>
            </w:pPr>
            <w:r>
              <w:rPr>
                <w:rFonts w:hint="eastAsia" w:ascii="Times New Roman" w:hAnsi="宋体" w:eastAsia="宋体" w:cs="Times New Roman"/>
                <w:color w:val="000000"/>
                <w:kern w:val="0"/>
                <w:sz w:val="22"/>
                <w:szCs w:val="22"/>
                <w:shd w:val="clear" w:color="auto" w:fill="FFFFFF"/>
              </w:rPr>
              <w:t>过滤头带有止回阀，防止液体回流</w:t>
            </w:r>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宋体"/>
                <w:b w:val="0"/>
                <w:caps w:val="0"/>
                <w:color w:val="000000"/>
                <w:spacing w:val="-4"/>
                <w:sz w:val="21"/>
                <w:szCs w:val="21"/>
                <w:lang w:val="en-US" w:eastAsia="zh-CN"/>
              </w:rPr>
            </w:pPr>
            <w:r>
              <w:rPr>
                <w:rFonts w:hint="eastAsia"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left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cs="Times New Roman"/>
                <w:color w:val="000000"/>
                <w:kern w:val="0"/>
                <w:sz w:val="22"/>
                <w:szCs w:val="22"/>
                <w:shd w:val="clear" w:color="auto" w:fill="FFFFFF"/>
              </w:rPr>
            </w:pPr>
            <w:r>
              <w:rPr>
                <w:rFonts w:hint="eastAsia" w:ascii="Times New Roman" w:hAnsi="宋体" w:eastAsia="宋体" w:cs="Times New Roman"/>
                <w:color w:val="000000"/>
                <w:kern w:val="0"/>
                <w:sz w:val="22"/>
                <w:szCs w:val="22"/>
                <w:shd w:val="clear" w:color="auto" w:fill="FFFFFF"/>
              </w:rPr>
              <w:t>高通量，过滤系统可同时连接三台泵操作</w:t>
            </w:r>
          </w:p>
        </w:tc>
        <w:tc>
          <w:tcPr>
            <w:tcW w:w="1452" w:type="dxa"/>
            <w:tcBorders>
              <w:top w:val="single" w:color="auto" w:sz="4" w:space="0"/>
              <w:left w:val="single" w:color="auto" w:sz="4" w:space="0"/>
              <w:bottom w:val="single" w:color="auto" w:sz="4" w:space="0"/>
              <w:right w:val="doub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宋体"/>
                <w:b w:val="0"/>
                <w:caps w:val="0"/>
                <w:color w:val="000000"/>
                <w:spacing w:val="-4"/>
                <w:sz w:val="21"/>
                <w:szCs w:val="21"/>
                <w:lang w:val="en-US" w:eastAsia="zh-CN"/>
              </w:rPr>
            </w:pPr>
            <w:r>
              <w:rPr>
                <w:rFonts w:hint="eastAsia"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78" w:type="dxa"/>
            <w:gridSpan w:val="3"/>
            <w:tcBorders>
              <w:top w:val="single" w:color="auto" w:sz="4" w:space="0"/>
              <w:left w:val="double" w:color="auto" w:sz="4" w:space="0"/>
              <w:bottom w:val="double" w:color="auto" w:sz="4" w:space="0"/>
              <w:right w:val="double" w:color="auto" w:sz="4" w:space="0"/>
            </w:tcBorders>
            <w:shd w:val="clear" w:color="auto" w:fill="D8D8D8" w:themeFill="background1" w:themeFillShade="D9"/>
            <w:vAlign w:val="center"/>
          </w:tcPr>
          <w:p>
            <w:pPr>
              <w:tabs>
                <w:tab w:val="center" w:pos="2268"/>
                <w:tab w:val="right" w:pos="5387"/>
              </w:tabs>
              <w:jc w:val="left"/>
              <w:rPr>
                <w:rFonts w:ascii="Times New Roman" w:hAnsi="宋体" w:eastAsia="宋体" w:cs="Times New Roman"/>
                <w:b/>
                <w:caps/>
                <w:color w:val="000000"/>
                <w:spacing w:val="-4"/>
                <w:kern w:val="0"/>
                <w:sz w:val="22"/>
                <w:szCs w:val="22"/>
              </w:rPr>
            </w:pPr>
            <w:r>
              <w:rPr>
                <w:rFonts w:ascii="Times New Roman" w:hAnsi="宋体" w:eastAsia="宋体" w:cs="Times New Roman"/>
                <w:b/>
                <w:kern w:val="0"/>
                <w:sz w:val="22"/>
                <w:szCs w:val="22"/>
              </w:rPr>
              <w:t>电器、仪表、控制系统</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726" w:type="dxa"/>
            <w:tcBorders>
              <w:top w:val="doub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doub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ascii="Times New Roman" w:hAnsi="Times New Roman" w:eastAsia="宋体" w:cs="Times New Roman"/>
                <w:kern w:val="0"/>
                <w:sz w:val="22"/>
                <w:szCs w:val="22"/>
              </w:rPr>
              <w:t>220V/50HZ</w:t>
            </w:r>
            <w:r>
              <w:rPr>
                <w:rFonts w:ascii="Times New Roman" w:hAnsi="宋体" w:eastAsia="宋体" w:cs="Times New Roman"/>
                <w:kern w:val="0"/>
                <w:sz w:val="22"/>
                <w:szCs w:val="22"/>
              </w:rPr>
              <w:t>；</w:t>
            </w:r>
          </w:p>
        </w:tc>
        <w:tc>
          <w:tcPr>
            <w:tcW w:w="1452" w:type="dxa"/>
            <w:tcBorders>
              <w:top w:val="double" w:color="auto" w:sz="4" w:space="0"/>
              <w:left w:val="single" w:color="auto" w:sz="4" w:space="0"/>
              <w:bottom w:val="sing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FF0000"/>
                <w:kern w:val="0"/>
                <w:sz w:val="22"/>
                <w:szCs w:val="22"/>
              </w:rPr>
            </w:pPr>
            <w:r>
              <w:rPr>
                <w:rFonts w:hint="eastAsia" w:ascii="Times New Roman" w:hAnsi="宋体" w:eastAsia="宋体" w:cs="Times New Roman"/>
                <w:kern w:val="0"/>
                <w:sz w:val="22"/>
                <w:szCs w:val="22"/>
              </w:rPr>
              <w:t>过滤泵</w:t>
            </w:r>
            <w:r>
              <w:rPr>
                <w:rFonts w:ascii="Times New Roman" w:hAnsi="宋体" w:eastAsia="宋体" w:cs="Times New Roman"/>
                <w:kern w:val="0"/>
                <w:sz w:val="22"/>
                <w:szCs w:val="22"/>
              </w:rPr>
              <w:t>头使用</w:t>
            </w:r>
            <w:r>
              <w:rPr>
                <w:rFonts w:hint="eastAsia" w:ascii="Times New Roman" w:hAnsi="宋体" w:eastAsia="宋体" w:cs="Times New Roman"/>
                <w:kern w:val="0"/>
                <w:sz w:val="22"/>
                <w:szCs w:val="22"/>
              </w:rPr>
              <w:t>47</w:t>
            </w:r>
            <w:r>
              <w:rPr>
                <w:rFonts w:ascii="Times New Roman" w:hAnsi="宋体" w:eastAsia="宋体" w:cs="Times New Roman"/>
                <w:kern w:val="0"/>
                <w:sz w:val="22"/>
                <w:szCs w:val="22"/>
              </w:rPr>
              <w:t>mm滤膜</w:t>
            </w:r>
          </w:p>
        </w:tc>
        <w:tc>
          <w:tcPr>
            <w:tcW w:w="1452" w:type="dxa"/>
            <w:tcBorders>
              <w:top w:val="single" w:color="auto" w:sz="4" w:space="0"/>
              <w:left w:val="single" w:color="auto" w:sz="4" w:space="0"/>
              <w:bottom w:val="sing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FF0000"/>
                <w:kern w:val="0"/>
                <w:sz w:val="22"/>
                <w:szCs w:val="22"/>
              </w:rPr>
            </w:pPr>
            <w:r>
              <w:rPr>
                <w:rFonts w:hint="eastAsia" w:ascii="Times New Roman" w:hAnsi="宋体" w:eastAsia="宋体" w:cs="Times New Roman"/>
                <w:kern w:val="0"/>
                <w:sz w:val="22"/>
                <w:szCs w:val="22"/>
              </w:rPr>
              <w:t>仪器内</w:t>
            </w:r>
            <w:r>
              <w:rPr>
                <w:rFonts w:ascii="Times New Roman" w:hAnsi="宋体" w:eastAsia="宋体" w:cs="Times New Roman"/>
                <w:kern w:val="0"/>
                <w:sz w:val="22"/>
                <w:szCs w:val="22"/>
              </w:rPr>
              <w:t>置</w:t>
            </w:r>
            <w:r>
              <w:rPr>
                <w:rFonts w:hint="eastAsia" w:ascii="Times New Roman" w:hAnsi="宋体" w:eastAsia="宋体" w:cs="Times New Roman"/>
                <w:kern w:val="0"/>
                <w:sz w:val="22"/>
                <w:szCs w:val="22"/>
              </w:rPr>
              <w:t>泵</w:t>
            </w:r>
            <w:r>
              <w:rPr>
                <w:rFonts w:ascii="Times New Roman" w:hAnsi="宋体" w:eastAsia="宋体" w:cs="Times New Roman"/>
                <w:kern w:val="0"/>
                <w:sz w:val="22"/>
                <w:szCs w:val="22"/>
              </w:rPr>
              <w:t>体应为耐腐蚀隔膜真空泵</w:t>
            </w:r>
          </w:p>
        </w:tc>
        <w:tc>
          <w:tcPr>
            <w:tcW w:w="1452" w:type="dxa"/>
            <w:tcBorders>
              <w:top w:val="single" w:color="auto" w:sz="4" w:space="0"/>
              <w:left w:val="single" w:color="auto" w:sz="4" w:space="0"/>
              <w:bottom w:val="sing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hint="eastAsia" w:ascii="Times New Roman" w:hAnsi="宋体"/>
                <w:b w:val="0"/>
                <w:caps w:val="0"/>
                <w:color w:val="000000"/>
                <w:spacing w:val="-4"/>
                <w:sz w:val="21"/>
                <w:szCs w:val="21"/>
                <w:lang w:val="en-US" w:eastAsia="zh-CN"/>
              </w:rPr>
              <w:t>期望</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hint="eastAsia" w:ascii="宋体" w:hAnsi="宋体" w:eastAsia="宋体" w:cs="Arial"/>
                <w:kern w:val="0"/>
                <w:sz w:val="22"/>
                <w:szCs w:val="22"/>
              </w:rPr>
              <w:t>泵</w:t>
            </w:r>
            <w:r>
              <w:rPr>
                <w:rFonts w:ascii="宋体" w:hAnsi="宋体" w:eastAsia="宋体" w:cs="Arial"/>
                <w:kern w:val="0"/>
                <w:sz w:val="22"/>
                <w:szCs w:val="22"/>
              </w:rPr>
              <w:t>的</w:t>
            </w:r>
            <w:r>
              <w:rPr>
                <w:rFonts w:hint="eastAsia" w:ascii="宋体" w:hAnsi="宋体" w:eastAsia="宋体" w:cs="Arial"/>
                <w:kern w:val="0"/>
                <w:sz w:val="22"/>
                <w:szCs w:val="22"/>
              </w:rPr>
              <w:t>最大真空度应 ≥0.4bar</w:t>
            </w:r>
          </w:p>
        </w:tc>
        <w:tc>
          <w:tcPr>
            <w:tcW w:w="1452" w:type="dxa"/>
            <w:tcBorders>
              <w:top w:val="single" w:color="auto" w:sz="4" w:space="0"/>
              <w:left w:val="single" w:color="auto" w:sz="4" w:space="0"/>
              <w:bottom w:val="sing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hint="eastAsia" w:ascii="Times New Roman" w:hAnsi="宋体" w:eastAsia="宋体" w:cs="Times New Roman"/>
                <w:color w:val="000000"/>
                <w:kern w:val="0"/>
                <w:sz w:val="22"/>
                <w:szCs w:val="22"/>
                <w:shd w:val="clear" w:color="auto" w:fill="FFFFFF"/>
              </w:rPr>
              <w:t>泵的</w:t>
            </w:r>
            <w:r>
              <w:rPr>
                <w:rFonts w:ascii="Times New Roman" w:hAnsi="宋体" w:eastAsia="宋体" w:cs="Times New Roman"/>
                <w:color w:val="000000"/>
                <w:kern w:val="0"/>
                <w:sz w:val="22"/>
                <w:szCs w:val="22"/>
                <w:shd w:val="clear" w:color="auto" w:fill="FFFFFF"/>
              </w:rPr>
              <w:t>真空度应满足</w:t>
            </w:r>
            <w:r>
              <w:rPr>
                <w:rFonts w:hint="eastAsia" w:ascii="Times New Roman" w:hAnsi="宋体" w:eastAsia="宋体" w:cs="Times New Roman"/>
                <w:color w:val="000000"/>
                <w:kern w:val="0"/>
                <w:sz w:val="22"/>
                <w:szCs w:val="22"/>
                <w:shd w:val="clear" w:color="auto" w:fill="FFFFFF"/>
              </w:rPr>
              <w:t>ISO 8199 的</w:t>
            </w:r>
            <w:r>
              <w:rPr>
                <w:rFonts w:ascii="Times New Roman" w:hAnsi="宋体" w:eastAsia="宋体" w:cs="Times New Roman"/>
                <w:color w:val="000000"/>
                <w:kern w:val="0"/>
                <w:sz w:val="22"/>
                <w:szCs w:val="22"/>
                <w:shd w:val="clear" w:color="auto" w:fill="FFFFFF"/>
              </w:rPr>
              <w:t>要求</w:t>
            </w:r>
          </w:p>
        </w:tc>
        <w:tc>
          <w:tcPr>
            <w:tcW w:w="1452" w:type="dxa"/>
            <w:tcBorders>
              <w:top w:val="single" w:color="auto" w:sz="4" w:space="0"/>
              <w:left w:val="single" w:color="auto" w:sz="4" w:space="0"/>
              <w:bottom w:val="sing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FF0000"/>
                <w:kern w:val="0"/>
                <w:sz w:val="22"/>
                <w:szCs w:val="22"/>
              </w:rPr>
            </w:pPr>
            <w:r>
              <w:rPr>
                <w:rFonts w:hint="eastAsia" w:ascii="Times New Roman" w:hAnsi="宋体" w:eastAsia="宋体" w:cs="Times New Roman"/>
                <w:kern w:val="0"/>
                <w:sz w:val="22"/>
                <w:szCs w:val="22"/>
              </w:rPr>
              <w:t>仪器应</w:t>
            </w:r>
            <w:r>
              <w:rPr>
                <w:rFonts w:ascii="Times New Roman" w:hAnsi="宋体" w:eastAsia="宋体" w:cs="Times New Roman"/>
                <w:kern w:val="0"/>
                <w:sz w:val="22"/>
                <w:szCs w:val="22"/>
              </w:rPr>
              <w:t>配</w:t>
            </w:r>
            <w:r>
              <w:rPr>
                <w:rFonts w:hint="eastAsia" w:ascii="Times New Roman" w:hAnsi="宋体" w:eastAsia="宋体" w:cs="Times New Roman"/>
                <w:kern w:val="0"/>
                <w:sz w:val="22"/>
                <w:szCs w:val="22"/>
              </w:rPr>
              <w:t>备100</w:t>
            </w:r>
            <w:r>
              <w:rPr>
                <w:rFonts w:ascii="Times New Roman" w:hAnsi="宋体" w:eastAsia="宋体" w:cs="Times New Roman"/>
                <w:kern w:val="0"/>
                <w:sz w:val="22"/>
                <w:szCs w:val="22"/>
              </w:rPr>
              <w:t>ml,250ml</w:t>
            </w:r>
            <w:r>
              <w:rPr>
                <w:rFonts w:hint="eastAsia" w:ascii="Times New Roman" w:hAnsi="宋体" w:eastAsia="宋体" w:cs="Times New Roman"/>
                <w:kern w:val="0"/>
                <w:sz w:val="22"/>
                <w:szCs w:val="22"/>
              </w:rPr>
              <w:t>等</w:t>
            </w:r>
            <w:r>
              <w:rPr>
                <w:rFonts w:ascii="Times New Roman" w:hAnsi="宋体" w:eastAsia="宋体" w:cs="Times New Roman"/>
                <w:kern w:val="0"/>
                <w:sz w:val="22"/>
                <w:szCs w:val="22"/>
              </w:rPr>
              <w:t>不同规格容量的</w:t>
            </w:r>
            <w:r>
              <w:rPr>
                <w:rFonts w:hint="eastAsia" w:ascii="Times New Roman" w:hAnsi="宋体" w:eastAsia="宋体" w:cs="Times New Roman"/>
                <w:kern w:val="0"/>
                <w:sz w:val="22"/>
                <w:szCs w:val="22"/>
              </w:rPr>
              <w:t>过滤</w:t>
            </w:r>
            <w:r>
              <w:rPr>
                <w:rFonts w:ascii="Times New Roman" w:hAnsi="宋体" w:eastAsia="宋体" w:cs="Times New Roman"/>
                <w:kern w:val="0"/>
                <w:sz w:val="22"/>
                <w:szCs w:val="22"/>
              </w:rPr>
              <w:t>滤杯</w:t>
            </w:r>
          </w:p>
        </w:tc>
        <w:tc>
          <w:tcPr>
            <w:tcW w:w="1452" w:type="dxa"/>
            <w:tcBorders>
              <w:top w:val="single" w:color="auto" w:sz="4" w:space="0"/>
              <w:left w:val="single" w:color="auto" w:sz="4" w:space="0"/>
              <w:bottom w:val="sing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FF0000"/>
                <w:kern w:val="0"/>
                <w:sz w:val="22"/>
                <w:szCs w:val="22"/>
              </w:rPr>
            </w:pPr>
            <w:r>
              <w:rPr>
                <w:rFonts w:hint="eastAsia" w:ascii="宋体" w:hAnsi="宋体" w:eastAsia="宋体" w:cs="Arial"/>
                <w:kern w:val="0"/>
                <w:sz w:val="22"/>
                <w:szCs w:val="22"/>
              </w:rPr>
              <w:t>泵</w:t>
            </w:r>
            <w:r>
              <w:rPr>
                <w:rFonts w:ascii="宋体" w:hAnsi="宋体" w:eastAsia="宋体" w:cs="Arial"/>
                <w:kern w:val="0"/>
                <w:sz w:val="22"/>
                <w:szCs w:val="22"/>
              </w:rPr>
              <w:t>的</w:t>
            </w:r>
            <w:r>
              <w:rPr>
                <w:rFonts w:hint="eastAsia" w:ascii="宋体" w:hAnsi="宋体" w:eastAsia="宋体" w:cs="Arial"/>
                <w:kern w:val="0"/>
                <w:sz w:val="22"/>
                <w:szCs w:val="22"/>
              </w:rPr>
              <w:t>过滤流速应不</w:t>
            </w:r>
            <w:r>
              <w:rPr>
                <w:rFonts w:ascii="宋体" w:hAnsi="宋体" w:eastAsia="宋体" w:cs="Arial"/>
                <w:kern w:val="0"/>
                <w:sz w:val="22"/>
                <w:szCs w:val="22"/>
              </w:rPr>
              <w:t>小于</w:t>
            </w:r>
            <w:r>
              <w:rPr>
                <w:rFonts w:hint="eastAsia" w:ascii="宋体" w:hAnsi="宋体" w:eastAsia="宋体" w:cs="Arial"/>
                <w:kern w:val="0"/>
                <w:sz w:val="22"/>
                <w:szCs w:val="22"/>
              </w:rPr>
              <w:t>300mL/min</w:t>
            </w:r>
          </w:p>
        </w:tc>
        <w:tc>
          <w:tcPr>
            <w:tcW w:w="1452" w:type="dxa"/>
            <w:tcBorders>
              <w:top w:val="single" w:color="auto" w:sz="4" w:space="0"/>
              <w:left w:val="single" w:color="auto" w:sz="4" w:space="0"/>
              <w:bottom w:val="single" w:color="auto" w:sz="4" w:space="0"/>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726" w:type="dxa"/>
            <w:tcBorders>
              <w:top w:val="sing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shd w:val="clear" w:color="auto" w:fill="FFFFFF"/>
              </w:rPr>
            </w:pPr>
            <w:r>
              <w:rPr>
                <w:rFonts w:hint="eastAsia" w:ascii="Times New Roman" w:hAnsi="宋体" w:eastAsia="宋体" w:cs="Times New Roman"/>
                <w:kern w:val="0"/>
                <w:sz w:val="22"/>
                <w:szCs w:val="22"/>
                <w:shd w:val="clear" w:color="auto" w:fill="FFFFFF"/>
              </w:rPr>
              <w:t>过滤</w:t>
            </w:r>
            <w:r>
              <w:rPr>
                <w:rFonts w:ascii="Times New Roman" w:hAnsi="宋体" w:eastAsia="宋体" w:cs="Times New Roman"/>
                <w:kern w:val="0"/>
                <w:sz w:val="22"/>
                <w:szCs w:val="22"/>
                <w:shd w:val="clear" w:color="auto" w:fill="FFFFFF"/>
              </w:rPr>
              <w:t>滤杯与过滤头的连接</w:t>
            </w:r>
            <w:r>
              <w:rPr>
                <w:rFonts w:hint="eastAsia" w:ascii="Times New Roman" w:hAnsi="宋体" w:eastAsia="宋体" w:cs="Times New Roman"/>
                <w:kern w:val="0"/>
                <w:sz w:val="22"/>
                <w:szCs w:val="22"/>
                <w:shd w:val="clear" w:color="auto" w:fill="FFFFFF"/>
              </w:rPr>
              <w:t>方式</w:t>
            </w:r>
            <w:r>
              <w:rPr>
                <w:rFonts w:ascii="Times New Roman" w:hAnsi="宋体" w:eastAsia="宋体" w:cs="Times New Roman"/>
                <w:kern w:val="0"/>
                <w:sz w:val="22"/>
                <w:szCs w:val="22"/>
                <w:shd w:val="clear" w:color="auto" w:fill="FFFFFF"/>
              </w:rPr>
              <w:t>应为卡</w:t>
            </w:r>
            <w:r>
              <w:rPr>
                <w:rFonts w:hint="eastAsia" w:ascii="Times New Roman" w:hAnsi="宋体" w:eastAsia="宋体" w:cs="Times New Roman"/>
                <w:kern w:val="0"/>
                <w:sz w:val="22"/>
                <w:szCs w:val="22"/>
                <w:shd w:val="clear" w:color="auto" w:fill="FFFFFF"/>
              </w:rPr>
              <w:t>扣</w:t>
            </w:r>
            <w:r>
              <w:rPr>
                <w:rFonts w:ascii="Times New Roman" w:hAnsi="宋体" w:eastAsia="宋体" w:cs="Times New Roman"/>
                <w:kern w:val="0"/>
                <w:sz w:val="22"/>
                <w:szCs w:val="22"/>
                <w:shd w:val="clear" w:color="auto" w:fill="FFFFFF"/>
              </w:rPr>
              <w:t>设计，避免使用螺纹</w:t>
            </w:r>
            <w:r>
              <w:rPr>
                <w:rFonts w:hint="eastAsia" w:ascii="Times New Roman" w:hAnsi="宋体" w:eastAsia="宋体" w:cs="Times New Roman"/>
                <w:kern w:val="0"/>
                <w:sz w:val="22"/>
                <w:szCs w:val="22"/>
                <w:shd w:val="clear" w:color="auto" w:fill="FFFFFF"/>
              </w:rPr>
              <w:t>等</w:t>
            </w:r>
            <w:r>
              <w:rPr>
                <w:rFonts w:ascii="Times New Roman" w:hAnsi="宋体" w:eastAsia="宋体" w:cs="Times New Roman"/>
                <w:kern w:val="0"/>
                <w:sz w:val="22"/>
                <w:szCs w:val="22"/>
                <w:shd w:val="clear" w:color="auto" w:fill="FFFFFF"/>
              </w:rPr>
              <w:t>非卫生接口</w:t>
            </w:r>
          </w:p>
        </w:tc>
        <w:tc>
          <w:tcPr>
            <w:tcW w:w="1452" w:type="dxa"/>
            <w:tcBorders>
              <w:top w:val="single" w:color="auto" w:sz="4" w:space="0"/>
              <w:left w:val="single" w:color="auto" w:sz="4" w:space="0"/>
              <w:bottom w:val="single" w:color="auto" w:sz="4" w:space="0"/>
            </w:tcBorders>
            <w:vAlign w:val="center"/>
          </w:tcPr>
          <w:p>
            <w:pPr>
              <w:pStyle w:val="24"/>
              <w:widowControl w:val="0"/>
              <w:tabs>
                <w:tab w:val="center" w:pos="2268"/>
                <w:tab w:val="right" w:pos="5387"/>
                <w:tab w:val="clear" w:pos="4820"/>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78" w:type="dxa"/>
            <w:gridSpan w:val="3"/>
            <w:tcBorders>
              <w:top w:val="single" w:color="auto" w:sz="4" w:space="0"/>
              <w:bottom w:val="single" w:color="auto" w:sz="4" w:space="0"/>
            </w:tcBorders>
            <w:shd w:val="clear" w:color="auto" w:fill="D8D8D8" w:themeFill="background1" w:themeFillShade="D9"/>
            <w:vAlign w:val="center"/>
          </w:tcPr>
          <w:p>
            <w:pPr>
              <w:pStyle w:val="24"/>
              <w:widowControl w:val="0"/>
              <w:tabs>
                <w:tab w:val="center" w:pos="2268"/>
                <w:tab w:val="right" w:pos="5387"/>
                <w:tab w:val="clear" w:pos="4820"/>
                <w:tab w:val="clear" w:pos="9639"/>
              </w:tabs>
              <w:spacing w:before="0" w:after="0"/>
              <w:rPr>
                <w:rFonts w:ascii="Times New Roman" w:hAnsi="Times New Roman"/>
                <w:sz w:val="22"/>
                <w:szCs w:val="22"/>
                <w:lang w:eastAsia="zh-CN"/>
              </w:rPr>
            </w:pPr>
            <w:r>
              <w:rPr>
                <w:rFonts w:ascii="Times New Roman" w:hAnsi="Times New Roman"/>
                <w:sz w:val="22"/>
                <w:szCs w:val="22"/>
                <w:highlight w:val="lightGray"/>
                <w:lang w:eastAsia="zh-CN"/>
              </w:rPr>
              <w:t>清洗、消毒或灭菌要求</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hint="eastAsia" w:ascii="Times New Roman" w:hAnsi="宋体" w:eastAsia="宋体" w:cs="Times New Roman"/>
                <w:kern w:val="0"/>
                <w:sz w:val="22"/>
                <w:szCs w:val="22"/>
              </w:rPr>
              <w:t>过滤泵</w:t>
            </w:r>
            <w:r>
              <w:rPr>
                <w:rFonts w:ascii="Times New Roman" w:hAnsi="宋体" w:eastAsia="宋体" w:cs="Times New Roman"/>
                <w:kern w:val="0"/>
                <w:sz w:val="22"/>
                <w:szCs w:val="22"/>
              </w:rPr>
              <w:t>头应</w:t>
            </w:r>
            <w:r>
              <w:rPr>
                <w:rFonts w:hint="eastAsia" w:ascii="Times New Roman" w:hAnsi="宋体" w:eastAsia="宋体" w:cs="Times New Roman"/>
                <w:kern w:val="0"/>
                <w:sz w:val="22"/>
                <w:szCs w:val="22"/>
              </w:rPr>
              <w:t>可</w:t>
            </w:r>
            <w:r>
              <w:rPr>
                <w:rFonts w:ascii="Times New Roman" w:hAnsi="宋体" w:eastAsia="宋体" w:cs="Times New Roman"/>
                <w:kern w:val="0"/>
                <w:sz w:val="22"/>
                <w:szCs w:val="22"/>
              </w:rPr>
              <w:t>耐</w:t>
            </w:r>
            <w:r>
              <w:rPr>
                <w:rFonts w:hint="eastAsia" w:ascii="Times New Roman" w:hAnsi="宋体" w:eastAsia="宋体" w:cs="Times New Roman"/>
                <w:kern w:val="0"/>
                <w:sz w:val="22"/>
                <w:szCs w:val="22"/>
              </w:rPr>
              <w:t>1</w:t>
            </w:r>
            <w:r>
              <w:rPr>
                <w:rFonts w:ascii="Times New Roman" w:hAnsi="宋体" w:eastAsia="宋体" w:cs="Times New Roman"/>
                <w:kern w:val="0"/>
                <w:sz w:val="22"/>
                <w:szCs w:val="22"/>
              </w:rPr>
              <w:t>21</w:t>
            </w:r>
            <w:r>
              <w:rPr>
                <w:rFonts w:hint="eastAsia" w:ascii="Times New Roman" w:hAnsi="宋体" w:eastAsia="宋体" w:cs="Times New Roman"/>
                <w:kern w:val="0"/>
                <w:sz w:val="22"/>
                <w:szCs w:val="22"/>
              </w:rPr>
              <w:t>度</w:t>
            </w:r>
            <w:r>
              <w:rPr>
                <w:rFonts w:ascii="Times New Roman" w:hAnsi="宋体" w:eastAsia="宋体" w:cs="Times New Roman"/>
                <w:kern w:val="0"/>
                <w:sz w:val="22"/>
                <w:szCs w:val="22"/>
              </w:rPr>
              <w:t>，3</w:t>
            </w:r>
            <w:r>
              <w:rPr>
                <w:rFonts w:hint="eastAsia" w:ascii="Times New Roman" w:hAnsi="宋体" w:eastAsia="宋体" w:cs="Times New Roman"/>
                <w:kern w:val="0"/>
                <w:sz w:val="22"/>
                <w:szCs w:val="22"/>
              </w:rPr>
              <w:t>0分钟高压蒸汽</w:t>
            </w:r>
            <w:r>
              <w:rPr>
                <w:rFonts w:ascii="Times New Roman" w:hAnsi="宋体" w:eastAsia="宋体" w:cs="Times New Roman"/>
                <w:kern w:val="0"/>
                <w:sz w:val="22"/>
                <w:szCs w:val="22"/>
              </w:rPr>
              <w:t>灭菌</w:t>
            </w:r>
          </w:p>
        </w:tc>
        <w:tc>
          <w:tcPr>
            <w:tcW w:w="1452" w:type="dxa"/>
            <w:tcBorders>
              <w:top w:val="single" w:color="auto" w:sz="4" w:space="0"/>
              <w:left w:val="single" w:color="auto" w:sz="4" w:space="0"/>
              <w:bottom w:val="single" w:color="auto" w:sz="4" w:space="0"/>
            </w:tcBorders>
            <w:vAlign w:val="center"/>
          </w:tcPr>
          <w:p>
            <w:pPr>
              <w:pStyle w:val="24"/>
              <w:widowControl w:val="0"/>
              <w:tabs>
                <w:tab w:val="center" w:pos="2268"/>
                <w:tab w:val="right" w:pos="5387"/>
                <w:tab w:val="clear" w:pos="4820"/>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auto" w:sz="4" w:space="0"/>
              <w:bottom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2"/>
                <w:szCs w:val="22"/>
              </w:rPr>
            </w:pPr>
            <w:r>
              <w:rPr>
                <w:rFonts w:hint="eastAsia" w:ascii="Times New Roman" w:hAnsi="宋体" w:eastAsia="宋体" w:cs="Times New Roman"/>
                <w:kern w:val="0"/>
                <w:sz w:val="22"/>
                <w:szCs w:val="22"/>
              </w:rPr>
              <w:t>仪器及过滤</w:t>
            </w:r>
            <w:r>
              <w:rPr>
                <w:rFonts w:ascii="Times New Roman" w:hAnsi="宋体" w:eastAsia="宋体" w:cs="Times New Roman"/>
                <w:kern w:val="0"/>
                <w:sz w:val="22"/>
                <w:szCs w:val="22"/>
              </w:rPr>
              <w:t>头表面应</w:t>
            </w:r>
            <w:r>
              <w:rPr>
                <w:rFonts w:hint="eastAsia" w:ascii="Times New Roman" w:hAnsi="宋体" w:eastAsia="宋体" w:cs="Times New Roman"/>
                <w:kern w:val="0"/>
                <w:sz w:val="22"/>
                <w:szCs w:val="22"/>
              </w:rPr>
              <w:t>耐</w:t>
            </w:r>
            <w:r>
              <w:rPr>
                <w:rFonts w:ascii="Times New Roman" w:hAnsi="宋体" w:eastAsia="宋体" w:cs="Times New Roman"/>
                <w:kern w:val="0"/>
                <w:sz w:val="22"/>
                <w:szCs w:val="22"/>
              </w:rPr>
              <w:t>受</w:t>
            </w:r>
            <w:r>
              <w:rPr>
                <w:rFonts w:hint="eastAsia" w:ascii="Times New Roman" w:hAnsi="宋体" w:eastAsia="宋体" w:cs="Times New Roman"/>
                <w:kern w:val="0"/>
                <w:sz w:val="22"/>
                <w:szCs w:val="22"/>
              </w:rPr>
              <w:t>酒精</w:t>
            </w:r>
            <w:r>
              <w:rPr>
                <w:rFonts w:ascii="Times New Roman" w:hAnsi="宋体" w:eastAsia="宋体" w:cs="Times New Roman"/>
                <w:kern w:val="0"/>
                <w:sz w:val="22"/>
                <w:szCs w:val="22"/>
              </w:rPr>
              <w:t>，异丙醇等消毒</w:t>
            </w:r>
            <w:r>
              <w:rPr>
                <w:rFonts w:hint="eastAsia" w:ascii="Times New Roman" w:hAnsi="宋体" w:eastAsia="宋体" w:cs="Times New Roman"/>
                <w:kern w:val="0"/>
                <w:sz w:val="22"/>
                <w:szCs w:val="22"/>
              </w:rPr>
              <w:t>剂擦</w:t>
            </w:r>
            <w:r>
              <w:rPr>
                <w:rFonts w:ascii="Times New Roman" w:hAnsi="宋体" w:eastAsia="宋体" w:cs="Times New Roman"/>
                <w:kern w:val="0"/>
                <w:sz w:val="22"/>
                <w:szCs w:val="22"/>
              </w:rPr>
              <w:t>试</w:t>
            </w:r>
          </w:p>
        </w:tc>
        <w:tc>
          <w:tcPr>
            <w:tcW w:w="1452" w:type="dxa"/>
            <w:tcBorders>
              <w:top w:val="single" w:color="auto" w:sz="4" w:space="0"/>
              <w:left w:val="single" w:color="auto" w:sz="4" w:space="0"/>
              <w:bottom w:val="single" w:color="auto" w:sz="4" w:space="0"/>
            </w:tcBorders>
            <w:vAlign w:val="center"/>
          </w:tcPr>
          <w:p>
            <w:pPr>
              <w:pStyle w:val="24"/>
              <w:widowControl w:val="0"/>
              <w:tabs>
                <w:tab w:val="center" w:pos="2268"/>
                <w:tab w:val="right" w:pos="5387"/>
                <w:tab w:val="clear" w:pos="4820"/>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26" w:type="dxa"/>
            <w:tcBorders>
              <w:top w:val="single" w:color="auto" w:sz="4" w:space="0"/>
              <w:right w:val="single" w:color="auto" w:sz="4" w:space="0"/>
            </w:tcBorders>
            <w:vAlign w:val="center"/>
          </w:tcPr>
          <w:p>
            <w:pPr>
              <w:pStyle w:val="24"/>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200" w:type="dxa"/>
            <w:tcBorders>
              <w:top w:val="single" w:color="auto" w:sz="4" w:space="0"/>
              <w:left w:val="single" w:color="auto" w:sz="4" w:space="0"/>
              <w:right w:val="single" w:color="auto" w:sz="4" w:space="0"/>
            </w:tcBorders>
            <w:vAlign w:val="center"/>
          </w:tcPr>
          <w:p>
            <w:pPr>
              <w:rPr>
                <w:rFonts w:ascii="Times New Roman" w:hAnsi="Times New Roman" w:eastAsia="宋体" w:cs="Times New Roman"/>
                <w:kern w:val="0"/>
                <w:sz w:val="22"/>
                <w:szCs w:val="22"/>
              </w:rPr>
            </w:pPr>
            <w:r>
              <w:rPr>
                <w:rFonts w:hint="eastAsia" w:ascii="Times New Roman" w:hAnsi="宋体" w:eastAsia="宋体" w:cs="Times New Roman"/>
                <w:kern w:val="0"/>
                <w:sz w:val="22"/>
                <w:szCs w:val="22"/>
              </w:rPr>
              <w:t>仪器泵体的内部</w:t>
            </w:r>
            <w:r>
              <w:rPr>
                <w:rFonts w:ascii="Times New Roman" w:hAnsi="宋体" w:eastAsia="宋体" w:cs="Times New Roman"/>
                <w:kern w:val="0"/>
                <w:sz w:val="22"/>
                <w:szCs w:val="22"/>
              </w:rPr>
              <w:t>管路应</w:t>
            </w:r>
            <w:r>
              <w:rPr>
                <w:rFonts w:hint="eastAsia" w:ascii="Times New Roman" w:hAnsi="宋体" w:eastAsia="宋体" w:cs="Times New Roman"/>
                <w:kern w:val="0"/>
                <w:sz w:val="22"/>
                <w:szCs w:val="22"/>
              </w:rPr>
              <w:t>可</w:t>
            </w:r>
            <w:r>
              <w:rPr>
                <w:rFonts w:ascii="Times New Roman" w:hAnsi="宋体" w:eastAsia="宋体" w:cs="Times New Roman"/>
                <w:kern w:val="0"/>
                <w:sz w:val="22"/>
                <w:szCs w:val="22"/>
              </w:rPr>
              <w:t>进行</w:t>
            </w:r>
            <w:r>
              <w:rPr>
                <w:rFonts w:hint="eastAsia" w:ascii="Times New Roman" w:hAnsi="宋体" w:eastAsia="宋体" w:cs="Times New Roman"/>
                <w:kern w:val="0"/>
                <w:sz w:val="22"/>
                <w:szCs w:val="22"/>
              </w:rPr>
              <w:t>清洁</w:t>
            </w:r>
            <w:r>
              <w:rPr>
                <w:rFonts w:ascii="Times New Roman" w:hAnsi="宋体" w:eastAsia="宋体" w:cs="Times New Roman"/>
                <w:kern w:val="0"/>
                <w:sz w:val="22"/>
                <w:szCs w:val="22"/>
              </w:rPr>
              <w:t>消毒</w:t>
            </w:r>
            <w:r>
              <w:rPr>
                <w:rFonts w:hint="eastAsia" w:ascii="Times New Roman" w:hAnsi="宋体" w:eastAsia="宋体" w:cs="Times New Roman"/>
                <w:kern w:val="0"/>
                <w:sz w:val="22"/>
                <w:szCs w:val="22"/>
              </w:rPr>
              <w:t>，每月只需消毒一次，</w:t>
            </w:r>
            <w:r>
              <w:rPr>
                <w:rFonts w:ascii="Times New Roman" w:hAnsi="宋体" w:eastAsia="宋体" w:cs="Times New Roman"/>
                <w:kern w:val="0"/>
                <w:sz w:val="22"/>
                <w:szCs w:val="22"/>
              </w:rPr>
              <w:t>并确保清洁消毒的有效性</w:t>
            </w:r>
          </w:p>
        </w:tc>
        <w:tc>
          <w:tcPr>
            <w:tcW w:w="1452" w:type="dxa"/>
            <w:tcBorders>
              <w:top w:val="single" w:color="auto" w:sz="4" w:space="0"/>
              <w:left w:val="single" w:color="auto" w:sz="4" w:space="0"/>
            </w:tcBorders>
            <w:vAlign w:val="center"/>
          </w:tcPr>
          <w:p>
            <w:pPr>
              <w:pStyle w:val="24"/>
              <w:widowControl w:val="0"/>
              <w:tabs>
                <w:tab w:val="center" w:pos="2268"/>
                <w:tab w:val="right" w:pos="5387"/>
                <w:tab w:val="clear" w:pos="4820"/>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bl>
    <w:p/>
    <w:p>
      <w:pPr>
        <w:pStyle w:val="3"/>
        <w:numPr>
          <w:ilvl w:val="0"/>
          <w:numId w:val="2"/>
        </w:numPr>
        <w:bidi w:val="0"/>
        <w:ind w:left="0" w:leftChars="0" w:firstLine="0" w:firstLineChars="0"/>
        <w:rPr>
          <w:lang w:val="en-US"/>
        </w:rPr>
      </w:pPr>
      <w:bookmarkStart w:id="10" w:name="_Toc16683"/>
      <w:bookmarkStart w:id="11" w:name="_Toc30619"/>
      <w:r>
        <w:rPr>
          <w:rFonts w:hint="eastAsia"/>
        </w:rPr>
        <w:t>验证和培训要求</w:t>
      </w:r>
      <w:bookmarkEnd w:id="10"/>
      <w:bookmarkEnd w:id="11"/>
    </w:p>
    <w:tbl>
      <w:tblPr>
        <w:tblStyle w:val="16"/>
        <w:tblW w:w="9458"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0"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初次安装供方负责对技术管理人员、操作人员、维修人员进行结构原理、性能、操作、维修、故障排除等基本知识的培训，使我方人员至一定熟练度，由双方人员认可</w:t>
            </w:r>
            <w:r>
              <w:rPr>
                <w:rFonts w:ascii="Times New Roman" w:hAnsi="Times New Roman" w:cs="Times New Roman"/>
                <w:b w:val="0"/>
                <w:bCs w:val="0"/>
                <w:color w:val="000000"/>
                <w:sz w:val="21"/>
                <w:szCs w:val="21"/>
                <w:lang w:val="en-US" w:bidi="ar"/>
              </w:rPr>
              <w:t>,费用由供应商承担。</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设备供应商负责所有技术指导和人员培训，包括：操作、设备维护、设备性能及问题解答。</w:t>
            </w:r>
          </w:p>
        </w:tc>
        <w:tc>
          <w:tcPr>
            <w:tcW w:w="1260" w:type="dxa"/>
            <w:vAlign w:val="center"/>
          </w:tcPr>
          <w:p>
            <w:pPr>
              <w:spacing w:line="360" w:lineRule="auto"/>
              <w:jc w:val="center"/>
              <w:rPr>
                <w:rFonts w:ascii="宋体" w:hAnsi="宋体"/>
                <w:b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供应商应提供充足的中英文培训材料</w:t>
            </w:r>
            <w:r>
              <w:rPr>
                <w:rFonts w:hint="eastAsia"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卖方向买方提供详细的验收标准、验收手册。设备安装后，仪器所有技术参数经检验应符合国际和国家标准及厂方标准。买方有权委托中国有资格的单位对上述仪器进行精度校核。如果由于仪器本身原因而在六十天内调试没有通过，卖方必须更换一套新的相同型号或符合技术性能的仪器设备。</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sz w:val="22"/>
                <w:szCs w:val="22"/>
              </w:rPr>
              <w:t>供方提供设备的I</w:t>
            </w:r>
            <w:r>
              <w:rPr>
                <w:sz w:val="22"/>
                <w:szCs w:val="22"/>
              </w:rPr>
              <w:t>QOQ</w:t>
            </w:r>
            <w:r>
              <w:rPr>
                <w:rFonts w:hint="eastAsia"/>
                <w:sz w:val="22"/>
                <w:szCs w:val="22"/>
              </w:rPr>
              <w:t>认证，并提供相应的方案及报告，IQ</w:t>
            </w:r>
            <w:r>
              <w:rPr>
                <w:sz w:val="22"/>
                <w:szCs w:val="22"/>
              </w:rPr>
              <w:t>OQ</w:t>
            </w:r>
            <w:r>
              <w:rPr>
                <w:rFonts w:hint="eastAsia"/>
                <w:sz w:val="22"/>
                <w:szCs w:val="22"/>
              </w:rPr>
              <w:t>方案应经需方审核、批准后执行</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bookmarkStart w:id="12" w:name="_Toc15829_WPSOffice_Level2"/>
          </w:p>
        </w:tc>
        <w:tc>
          <w:tcPr>
            <w:tcW w:w="6938" w:type="dxa"/>
            <w:vAlign w:val="center"/>
          </w:tcPr>
          <w:p>
            <w:pPr>
              <w:rPr>
                <w:rFonts w:hint="eastAsia"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设备验收合格后，出具验收报告，买卖双方在验收文件上签字生效</w:t>
            </w:r>
          </w:p>
        </w:tc>
        <w:tc>
          <w:tcPr>
            <w:tcW w:w="1260" w:type="dxa"/>
            <w:vAlign w:val="center"/>
          </w:tcPr>
          <w:p>
            <w:pPr>
              <w:spacing w:line="360" w:lineRule="auto"/>
              <w:jc w:val="center"/>
              <w:rPr>
                <w:rFonts w:hint="default" w:ascii="宋体" w:hAnsi="宋体" w:eastAsiaTheme="minorEastAsia"/>
                <w:b w:val="0"/>
                <w:sz w:val="21"/>
                <w:szCs w:val="21"/>
                <w:lang w:val="en-US" w:eastAsia="zh-CN"/>
              </w:rPr>
            </w:pPr>
            <w:r>
              <w:rPr>
                <w:rFonts w:hint="eastAsia" w:ascii="宋体" w:hAnsi="宋体"/>
                <w:b w:val="0"/>
                <w:sz w:val="21"/>
                <w:szCs w:val="21"/>
                <w:lang w:val="en-US" w:eastAsia="zh-CN"/>
              </w:rPr>
              <w:t>必须</w:t>
            </w:r>
          </w:p>
        </w:tc>
      </w:tr>
    </w:tbl>
    <w:p>
      <w:pPr>
        <w:spacing w:line="360" w:lineRule="auto"/>
        <w:ind w:left="400"/>
        <w:rPr>
          <w:rFonts w:ascii="宋体" w:hAnsi="宋体"/>
          <w:sz w:val="24"/>
        </w:rPr>
      </w:pPr>
    </w:p>
    <w:bookmarkEnd w:id="12"/>
    <w:p>
      <w:pPr>
        <w:pStyle w:val="3"/>
        <w:numPr>
          <w:ilvl w:val="0"/>
          <w:numId w:val="2"/>
        </w:numPr>
        <w:bidi w:val="0"/>
        <w:ind w:left="0" w:leftChars="0" w:firstLine="0" w:firstLineChars="0"/>
      </w:pPr>
      <w:bookmarkStart w:id="13" w:name="_Toc7164"/>
      <w:bookmarkStart w:id="14" w:name="_Toc85633835"/>
      <w:bookmarkStart w:id="15" w:name="_Toc25842"/>
      <w:r>
        <w:rPr>
          <w:rFonts w:hint="eastAsia"/>
        </w:rPr>
        <w:t>安全要求</w:t>
      </w:r>
      <w:bookmarkEnd w:id="13"/>
      <w:bookmarkEnd w:id="14"/>
      <w:bookmarkEnd w:id="15"/>
    </w:p>
    <w:tbl>
      <w:tblPr>
        <w:tblStyle w:val="16"/>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设备应贴有统一的设备铭牌，铭牌上应注明名称、产地、出厂日期、型号、重量级其他重要技术参数。</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不采用对人体健康有害的材料和加工方法。</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设备任何部位不能有锋利的边缘和尖角。</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供应商在接到用户调试通知一周内派技术人员到达现场。在需方工厂调试期间，由于供方设备或人员的原因造成的安全事故由供方承担</w:t>
            </w:r>
            <w:r>
              <w:rPr>
                <w:rFonts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pPr>
    </w:p>
    <w:p>
      <w:pPr>
        <w:pStyle w:val="3"/>
        <w:numPr>
          <w:ilvl w:val="0"/>
          <w:numId w:val="2"/>
        </w:numPr>
        <w:bidi w:val="0"/>
        <w:ind w:left="0" w:leftChars="0" w:firstLine="0" w:firstLineChars="0"/>
      </w:pPr>
      <w:bookmarkStart w:id="16" w:name="_Toc29660_WPSOffice_Level2"/>
      <w:bookmarkStart w:id="17" w:name="_Toc85633836"/>
      <w:bookmarkStart w:id="18" w:name="_Toc29994"/>
      <w:bookmarkStart w:id="19" w:name="_Toc11289"/>
      <w:r>
        <w:rPr>
          <w:rFonts w:hint="eastAsia"/>
        </w:rPr>
        <w:t>包装和</w:t>
      </w:r>
      <w:bookmarkEnd w:id="16"/>
      <w:r>
        <w:rPr>
          <w:rFonts w:hint="eastAsia"/>
        </w:rPr>
        <w:t>运输要求</w:t>
      </w:r>
      <w:bookmarkEnd w:id="17"/>
      <w:bookmarkEnd w:id="18"/>
      <w:bookmarkEnd w:id="19"/>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95"/>
        <w:gridCol w:w="11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95"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70"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货物包装需符合相应标准</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包装应适于长途运输，具有良好的防潮、防水、防锈等保护措施，以确保货物安全运抵现场</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供货商应承担由于包装、运输不妥引起的货物锈蚀、损伤和丢失的责任</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pStyle w:val="3"/>
        <w:numPr>
          <w:ilvl w:val="0"/>
          <w:numId w:val="2"/>
        </w:numPr>
        <w:tabs>
          <w:tab w:val="left" w:pos="851"/>
          <w:tab w:val="left" w:pos="8647"/>
        </w:tabs>
        <w:ind w:left="0" w:leftChars="0" w:firstLine="0" w:firstLineChars="0"/>
      </w:pPr>
      <w:bookmarkStart w:id="20" w:name="_Toc1621_WPSOffice_Level2"/>
      <w:bookmarkStart w:id="21" w:name="_Toc85633837"/>
      <w:bookmarkStart w:id="22" w:name="_Toc13485"/>
      <w:bookmarkStart w:id="23" w:name="_Toc22159"/>
      <w:r>
        <w:rPr>
          <w:rFonts w:hint="eastAsia"/>
        </w:rPr>
        <w:t>文件资料</w:t>
      </w:r>
      <w:bookmarkEnd w:id="20"/>
      <w:r>
        <w:rPr>
          <w:rFonts w:hint="eastAsia"/>
        </w:rPr>
        <w:t>要求</w:t>
      </w:r>
      <w:bookmarkEnd w:id="21"/>
      <w:bookmarkEnd w:id="22"/>
      <w:bookmarkEnd w:id="23"/>
    </w:p>
    <w:p>
      <w:pPr>
        <w:spacing w:line="360" w:lineRule="auto"/>
        <w:ind w:left="142"/>
        <w:rPr>
          <w:rFonts w:ascii="Times New Roman" w:hAnsi="Times New Roman" w:cs="Times New Roman"/>
        </w:rPr>
      </w:pPr>
      <w:r>
        <w:rPr>
          <w:rFonts w:hint="eastAsia" w:ascii="Times New Roman" w:hAnsi="Times New Roman" w:cs="Times New Roman"/>
          <w:sz w:val="24"/>
          <w:lang w:val="en-US" w:eastAsia="zh-CN"/>
        </w:rPr>
        <w:t>6</w:t>
      </w:r>
      <w:r>
        <w:rPr>
          <w:rFonts w:hint="eastAsia" w:ascii="Times New Roman" w:hAnsi="Times New Roman" w:cs="Times New Roman"/>
          <w:sz w:val="24"/>
        </w:rPr>
        <w:t>.1文件清单</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260"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24"/>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bookmarkStart w:id="24" w:name="_Toc44422048"/>
            <w:r>
              <w:rPr>
                <w:rFonts w:ascii="Times New Roman" w:hAnsi="Times New Roman" w:cs="Times New Roman"/>
                <w:b w:val="0"/>
                <w:bCs w:val="0"/>
                <w:color w:val="000000"/>
                <w:sz w:val="21"/>
                <w:szCs w:val="21"/>
                <w:lang w:val="en-US" w:bidi="ar"/>
              </w:rPr>
              <w:t>提供完整的配件单，发货单</w:t>
            </w:r>
            <w:r>
              <w:rPr>
                <w:rFonts w:hint="eastAsia" w:ascii="Times New Roman" w:hAnsi="Times New Roman" w:cs="Times New Roman"/>
                <w:b w:val="0"/>
                <w:bCs w:val="0"/>
                <w:color w:val="000000"/>
                <w:sz w:val="21"/>
                <w:szCs w:val="21"/>
                <w:lang w:val="en-US" w:bidi="ar"/>
              </w:rPr>
              <w:t>，</w:t>
            </w:r>
            <w:r>
              <w:rPr>
                <w:rFonts w:ascii="Times New Roman" w:hAnsi="Times New Roman" w:cs="Times New Roman"/>
                <w:b w:val="0"/>
                <w:bCs w:val="0"/>
                <w:color w:val="000000"/>
                <w:sz w:val="21"/>
                <w:szCs w:val="21"/>
                <w:lang w:val="en-US" w:bidi="ar"/>
              </w:rPr>
              <w:t>装箱单</w:t>
            </w:r>
            <w:r>
              <w:rPr>
                <w:rFonts w:hint="eastAsia" w:ascii="Times New Roman" w:hAnsi="Times New Roman" w:cs="Times New Roman"/>
                <w:b w:val="0"/>
                <w:bCs w:val="0"/>
                <w:color w:val="000000"/>
                <w:sz w:val="21"/>
                <w:szCs w:val="21"/>
                <w:lang w:val="en-US" w:bidi="ar"/>
              </w:rPr>
              <w:t>和产品保修卡。</w:t>
            </w:r>
            <w:bookmarkEnd w:id="24"/>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w:t>
            </w:r>
            <w:r>
              <w:rPr>
                <w:rFonts w:hint="eastAsia" w:ascii="Times New Roman" w:hAnsi="Times New Roman" w:cs="Times New Roman"/>
                <w:b w:val="0"/>
                <w:bCs w:val="0"/>
                <w:color w:val="000000"/>
                <w:sz w:val="21"/>
                <w:szCs w:val="21"/>
                <w:lang w:val="en-US" w:bidi="ar"/>
              </w:rPr>
              <w:t>主要零配件清单、备品备件清单、两年内易损坏品、外购部件生产厂家</w:t>
            </w:r>
            <w:r>
              <w:rPr>
                <w:rFonts w:ascii="Times New Roman" w:hAnsi="Times New Roman" w:cs="Times New Roman"/>
                <w:b w:val="0"/>
                <w:bCs w:val="0"/>
                <w:color w:val="000000"/>
                <w:sz w:val="21"/>
                <w:szCs w:val="21"/>
                <w:lang w:val="en-US" w:bidi="ar"/>
              </w:rPr>
              <w:t>清单及订购信息。</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提供中文版操作说明书及维护手册。</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出厂检测原始记录及报告</w:t>
            </w:r>
            <w:r>
              <w:rPr>
                <w:rFonts w:hint="eastAsia" w:ascii="Times New Roman" w:hAnsi="Times New Roman" w:cs="Times New Roman"/>
                <w:b w:val="0"/>
                <w:bCs w:val="0"/>
                <w:color w:val="000000"/>
                <w:sz w:val="21"/>
                <w:szCs w:val="21"/>
                <w:lang w:val="en-US" w:bidi="ar"/>
              </w:rPr>
              <w:t>。</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p>
    <w:p>
      <w:pPr>
        <w:spacing w:line="360" w:lineRule="auto"/>
        <w:ind w:left="142"/>
        <w:rPr>
          <w:rFonts w:ascii="Times New Roman" w:hAnsi="Times New Roman" w:cs="Times New Roman"/>
        </w:rPr>
      </w:pPr>
      <w:r>
        <w:rPr>
          <w:rFonts w:hint="eastAsia" w:ascii="Times New Roman" w:hAnsi="Times New Roman" w:cs="Times New Roman"/>
          <w:sz w:val="24"/>
          <w:lang w:val="en-US" w:eastAsia="zh-CN"/>
        </w:rPr>
        <w:t>6</w:t>
      </w:r>
      <w:r>
        <w:rPr>
          <w:rFonts w:hint="eastAsia" w:ascii="Times New Roman" w:hAnsi="Times New Roman" w:cs="Times New Roman"/>
          <w:sz w:val="24"/>
        </w:rPr>
        <w:t>.2文件要求</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24"/>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文件统一用A4纸打印，采用A4尺寸塑料插页文件档案盒或其他形式</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bl>
    <w:p>
      <w:pPr>
        <w:spacing w:line="360" w:lineRule="auto"/>
        <w:rPr>
          <w:rFonts w:ascii="Times New Roman" w:hAnsi="Times New Roman" w:cs="Times New Roman"/>
        </w:rPr>
      </w:pPr>
    </w:p>
    <w:p>
      <w:pPr>
        <w:spacing w:line="360" w:lineRule="auto"/>
        <w:ind w:left="142"/>
        <w:rPr>
          <w:rFonts w:ascii="Times New Roman" w:hAnsi="Times New Roman" w:cs="Times New Roman"/>
        </w:rPr>
      </w:pPr>
      <w:r>
        <w:rPr>
          <w:rFonts w:hint="eastAsia" w:ascii="Times New Roman" w:hAnsi="Times New Roman" w:cs="Times New Roman"/>
          <w:sz w:val="24"/>
          <w:lang w:val="en-US" w:eastAsia="zh-CN"/>
        </w:rPr>
        <w:t>6</w:t>
      </w:r>
      <w:r>
        <w:rPr>
          <w:rFonts w:hint="eastAsia" w:ascii="Times New Roman" w:hAnsi="Times New Roman" w:cs="Times New Roman"/>
          <w:sz w:val="24"/>
        </w:rPr>
        <w:t>.3文件提供时间节点</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24"/>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宋体" w:hAnsi="宋体"/>
                <w:b w:val="0"/>
                <w:kern w:val="2"/>
                <w:sz w:val="21"/>
                <w:szCs w:val="21"/>
                <w:lang w:val="en-US"/>
              </w:rPr>
            </w:pPr>
            <w:r>
              <w:rPr>
                <w:rFonts w:hint="eastAsia" w:ascii="宋体" w:hAnsi="宋体"/>
                <w:b w:val="0"/>
                <w:kern w:val="2"/>
                <w:sz w:val="21"/>
                <w:szCs w:val="21"/>
                <w:lang w:val="en-US"/>
              </w:rPr>
              <w:t>在启动订单之前，设备供应商应提供制造进度计划表，以便于核对节点</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spacing w:line="360" w:lineRule="auto"/>
        <w:rPr>
          <w:rFonts w:ascii="宋体" w:hAnsi="宋体"/>
          <w:sz w:val="24"/>
        </w:rPr>
      </w:pPr>
    </w:p>
    <w:p>
      <w:pPr>
        <w:pStyle w:val="3"/>
        <w:numPr>
          <w:ilvl w:val="0"/>
          <w:numId w:val="2"/>
        </w:numPr>
        <w:bidi w:val="0"/>
        <w:ind w:left="0" w:leftChars="0" w:firstLine="0" w:firstLineChars="0"/>
      </w:pPr>
      <w:bookmarkStart w:id="25" w:name="_Toc21995_WPSOffice_Level2"/>
      <w:bookmarkStart w:id="26" w:name="_Toc85633838"/>
      <w:bookmarkStart w:id="27" w:name="_Toc15664"/>
      <w:bookmarkStart w:id="28" w:name="_Toc3870"/>
      <w:r>
        <w:rPr>
          <w:rFonts w:hint="eastAsia"/>
        </w:rPr>
        <w:t>安装和调试</w:t>
      </w:r>
      <w:bookmarkEnd w:id="25"/>
      <w:r>
        <w:rPr>
          <w:rFonts w:hint="eastAsia"/>
        </w:rPr>
        <w:t>要求</w:t>
      </w:r>
      <w:bookmarkEnd w:id="26"/>
      <w:bookmarkEnd w:id="27"/>
      <w:bookmarkEnd w:id="28"/>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65"/>
        <w:gridCol w:w="12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65"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14"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需要具备符合中国标准的电源插头，电源适配器</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设备到场后需完成接收检查，供应商需派技术人员到现场指导，确保开箱、定位工作顺利进行。</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pStyle w:val="3"/>
        <w:numPr>
          <w:ilvl w:val="0"/>
          <w:numId w:val="2"/>
        </w:numPr>
        <w:bidi w:val="0"/>
        <w:ind w:left="0" w:leftChars="0" w:firstLine="0" w:firstLineChars="0"/>
      </w:pPr>
      <w:bookmarkStart w:id="29" w:name="_Toc28217_WPSOffice_Level2"/>
      <w:bookmarkStart w:id="30" w:name="_Toc85633839"/>
      <w:bookmarkStart w:id="31" w:name="_Toc5621"/>
      <w:bookmarkStart w:id="32" w:name="_Toc22155"/>
      <w:r>
        <w:rPr>
          <w:rFonts w:hint="eastAsia"/>
        </w:rPr>
        <w:t>服务要求</w:t>
      </w:r>
      <w:bookmarkEnd w:id="29"/>
      <w:bookmarkEnd w:id="30"/>
      <w:bookmarkEnd w:id="31"/>
      <w:bookmarkEnd w:id="32"/>
    </w:p>
    <w:p>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8</w:t>
      </w:r>
      <w:r>
        <w:rPr>
          <w:rFonts w:hint="eastAsia" w:ascii="宋体" w:hAnsi="宋体"/>
          <w:sz w:val="24"/>
        </w:rPr>
        <w:t>.1测试要求</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按照文件要求和规定，供应商要完成所有测试。</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供应商提供的系统</w:t>
            </w:r>
            <w:r>
              <w:rPr>
                <w:rFonts w:hint="eastAsia" w:ascii="Times New Roman" w:hAnsi="Times New Roman" w:cs="Times New Roman"/>
                <w:b w:val="0"/>
                <w:bCs w:val="0"/>
                <w:color w:val="FF0000"/>
                <w:sz w:val="21"/>
                <w:szCs w:val="21"/>
                <w:lang w:val="en-US" w:bidi="ar"/>
              </w:rPr>
              <w:t>的质保期至少为一年</w:t>
            </w:r>
            <w:r>
              <w:rPr>
                <w:rFonts w:ascii="Times New Roman" w:hAnsi="Times New Roman" w:cs="Times New Roman"/>
                <w:b w:val="0"/>
                <w:bCs w:val="0"/>
                <w:color w:val="000000"/>
                <w:sz w:val="21"/>
                <w:szCs w:val="21"/>
                <w:lang w:val="en-US" w:bidi="ar"/>
              </w:rPr>
              <w:t>(从最终验收调试合格之日起算)。</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供应商对系统质量和综合性能负责，保证运行时的稳定性、兼容性等。</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供应商保证设计和运行的安全可靠性、规范性和合理性。</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合同签订后由于设计问题进行必要的改动所需的费用由供应商负责，客户不承担此费用。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如因设备故障导致停止生产及使用或故障停机次数多以至不能达到设计要求时，需要延长保修期限。同时供应商需无条件负责免费维修并更换故障零件。</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设备到货日起，在</w:t>
            </w:r>
            <w:r>
              <w:rPr>
                <w:rFonts w:ascii="Times New Roman" w:hAnsi="Times New Roman" w:cs="Times New Roman"/>
                <w:b w:val="0"/>
                <w:bCs w:val="0"/>
                <w:color w:val="000000"/>
                <w:sz w:val="21"/>
                <w:szCs w:val="21"/>
                <w:lang w:val="en-US" w:bidi="ar"/>
              </w:rPr>
              <w:t>7个自然日内完成调试，具备使用能力。</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spacing w:line="360" w:lineRule="auto"/>
        <w:ind w:left="142"/>
        <w:rPr>
          <w:rFonts w:ascii="宋体" w:hAnsi="宋体"/>
          <w:sz w:val="24"/>
        </w:rPr>
      </w:pPr>
      <w:r>
        <w:rPr>
          <w:rFonts w:hint="eastAsia" w:ascii="宋体" w:hAnsi="宋体"/>
          <w:sz w:val="24"/>
          <w:lang w:val="en-US" w:eastAsia="zh-CN"/>
        </w:rPr>
        <w:t>8</w:t>
      </w:r>
      <w:r>
        <w:rPr>
          <w:rFonts w:hint="eastAsia" w:ascii="宋体" w:hAnsi="宋体"/>
          <w:sz w:val="24"/>
        </w:rPr>
        <w:t>.2核查要求</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供应商的设计要全面和具有前瞻性、要考虑到尽量避免被检察官提出需要整改的问题的出现。</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p>
      <w:pPr>
        <w:pStyle w:val="3"/>
        <w:numPr>
          <w:ilvl w:val="0"/>
          <w:numId w:val="2"/>
        </w:numPr>
        <w:bidi w:val="0"/>
        <w:ind w:left="0" w:leftChars="0" w:firstLine="0" w:firstLineChars="0"/>
      </w:pPr>
      <w:bookmarkStart w:id="33" w:name="_Toc85633840"/>
      <w:bookmarkStart w:id="34" w:name="_Toc7785"/>
      <w:bookmarkStart w:id="35" w:name="_Toc8738"/>
      <w:r>
        <w:rPr>
          <w:rFonts w:hint="eastAsia"/>
        </w:rPr>
        <w:t>维修与保养要求</w:t>
      </w:r>
      <w:bookmarkEnd w:id="33"/>
      <w:bookmarkEnd w:id="34"/>
      <w:bookmarkEnd w:id="35"/>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供应商要详细说明售后服务和培训的相关内容。售后服务必须及时、详尽，且问题解决完全。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系统运行综合性能：系统在维护保养周期内，连续运行条件下，始终满足公司使用需求。</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供应商应提供符合用户需求的验证计划，以及各项报价。</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自仪器验收合格之日起，卖方向买方提供1年免费保修服务。在保修期内，属产品质量问题所发生的一切费用由卖方负担。</w:t>
            </w:r>
          </w:p>
        </w:tc>
        <w:tc>
          <w:tcPr>
            <w:tcW w:w="1197" w:type="dxa"/>
            <w:vAlign w:val="center"/>
          </w:tcPr>
          <w:p>
            <w:pPr>
              <w:spacing w:line="360" w:lineRule="auto"/>
              <w:jc w:val="center"/>
              <w:rPr>
                <w:rFonts w:ascii="宋体" w:hAnsi="宋体"/>
                <w:b w:val="0"/>
                <w:sz w:val="21"/>
                <w:szCs w:val="21"/>
              </w:rPr>
            </w:pPr>
            <w:r>
              <w:rPr>
                <w:rFonts w:hint="eastAsia" w:ascii="宋体" w:hAnsi="宋体"/>
                <w:b w:val="0"/>
                <w:sz w:val="21"/>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卖方应提供技术支持，在接到买方仪器报修通知后，在24小时内予以应答，并在48小时内进行维修，保证仪器的正常工作。</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p>
      <w:pPr>
        <w:pStyle w:val="3"/>
        <w:numPr>
          <w:ilvl w:val="0"/>
          <w:numId w:val="2"/>
        </w:numPr>
        <w:bidi w:val="0"/>
        <w:ind w:left="0" w:leftChars="0" w:firstLine="0" w:firstLineChars="0"/>
        <w:rPr>
          <w:lang w:val="en-US"/>
        </w:rPr>
      </w:pPr>
      <w:bookmarkStart w:id="36" w:name="_Toc85633841"/>
      <w:bookmarkStart w:id="37" w:name="_Toc20403"/>
      <w:bookmarkStart w:id="38" w:name="_Toc14901"/>
      <w:r>
        <w:rPr>
          <w:rFonts w:hint="eastAsia"/>
          <w:lang w:val="en-US"/>
        </w:rPr>
        <w:t>付款方式及要求</w:t>
      </w:r>
      <w:bookmarkEnd w:id="36"/>
      <w:bookmarkEnd w:id="37"/>
      <w:bookmarkEnd w:id="38"/>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合同签订后，支付30%合同款。设备到货后安装、调试、验收，正常运行3个批次以上或验收合格14天内，在收到供应商5%的质量保证金及款项发票后，支付剩余70%合同款。质保期满14天内，无息归还质保金。</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FF0000"/>
                <w:sz w:val="21"/>
                <w:szCs w:val="21"/>
                <w:lang w:val="en-US" w:bidi="ar"/>
              </w:rPr>
              <w:t>设备质保期：</w:t>
            </w:r>
            <w:r>
              <w:rPr>
                <w:rFonts w:ascii="Times New Roman" w:hAnsi="Times New Roman" w:cs="Times New Roman"/>
                <w:b w:val="0"/>
                <w:bCs w:val="0"/>
                <w:color w:val="FF0000"/>
                <w:sz w:val="21"/>
                <w:szCs w:val="21"/>
                <w:lang w:val="en-US" w:bidi="ar"/>
              </w:rPr>
              <w:t>1</w:t>
            </w:r>
            <w:r>
              <w:rPr>
                <w:rFonts w:hint="eastAsia" w:ascii="Times New Roman" w:hAnsi="Times New Roman" w:cs="Times New Roman"/>
                <w:b w:val="0"/>
                <w:bCs w:val="0"/>
                <w:color w:val="FF0000"/>
                <w:sz w:val="21"/>
                <w:szCs w:val="21"/>
                <w:lang w:val="en-US" w:bidi="ar"/>
              </w:rPr>
              <w:t>年</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
      <w:pPr>
        <w:rPr>
          <w:szCs w:val="21"/>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vMerge w:val="restart"/>
          <w:shd w:val="clear" w:color="auto" w:fill="auto"/>
          <w:vAlign w:val="center"/>
        </w:tcPr>
        <w:p>
          <w:pPr>
            <w:jc w:val="center"/>
            <w:rPr>
              <w:sz w:val="28"/>
              <w:szCs w:val="28"/>
              <w:lang w:val="de-DE"/>
            </w:rPr>
          </w:pPr>
        </w:p>
      </w:tc>
      <w:tc>
        <w:tcPr>
          <w:tcW w:w="6977" w:type="dxa"/>
          <w:gridSpan w:val="2"/>
          <w:shd w:val="clear" w:color="auto" w:fill="auto"/>
          <w:vAlign w:val="center"/>
        </w:tcPr>
        <w:p>
          <w:pPr>
            <w:ind w:left="-2" w:leftChars="-51" w:hanging="105" w:hangingChars="35"/>
            <w:jc w:val="center"/>
            <w:rPr>
              <w:rFonts w:ascii="Times New Roman" w:hAnsi="Times New Roman" w:cs="Times New Roman"/>
              <w:bCs/>
              <w:sz w:val="30"/>
              <w:szCs w:val="30"/>
            </w:rPr>
          </w:pPr>
          <w:r>
            <w:rPr>
              <w:rFonts w:ascii="Times New Roman" w:hAnsi="Times New Roman" w:cs="Times New Roman"/>
              <w:sz w:val="30"/>
              <w:szCs w:val="30"/>
            </w:rPr>
            <w:t>User Requirement Specifications</w:t>
          </w:r>
        </w:p>
        <w:p>
          <w:pPr>
            <w:ind w:left="-2" w:leftChars="-51" w:hanging="105" w:hangingChars="35"/>
            <w:jc w:val="center"/>
            <w:rPr>
              <w:rFonts w:ascii="Times New Roman" w:hAnsi="Times New Roman" w:cs="Times New Roman"/>
              <w:bCs/>
              <w:sz w:val="30"/>
              <w:szCs w:val="30"/>
            </w:rPr>
          </w:pPr>
          <w:r>
            <w:rPr>
              <w:rFonts w:ascii="Times New Roman" w:hAnsi="Times New Roman" w:cs="Times New Roman"/>
              <w:sz w:val="30"/>
              <w:szCs w:val="30"/>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tc>
      <w:tc>
        <w:tcPr>
          <w:tcW w:w="1083" w:type="dxa"/>
          <w:shd w:val="clear" w:color="auto" w:fill="auto"/>
        </w:tcPr>
        <w:p>
          <w:pPr>
            <w:jc w:val="center"/>
            <w:rPr>
              <w:rFonts w:ascii="Times New Roman" w:hAnsi="Times New Roman" w:cs="Times New Roman"/>
              <w:bCs/>
              <w:sz w:val="24"/>
              <w:szCs w:val="24"/>
            </w:rPr>
          </w:pPr>
          <w:r>
            <w:rPr>
              <w:rFonts w:ascii="Times New Roman" w:hAnsi="Times New Roman" w:cs="Times New Roman"/>
              <w:sz w:val="24"/>
              <w:szCs w:val="24"/>
            </w:rPr>
            <w:t>Subject主題</w:t>
          </w:r>
        </w:p>
      </w:tc>
      <w:tc>
        <w:tcPr>
          <w:tcW w:w="5894" w:type="dxa"/>
          <w:shd w:val="clear" w:color="auto" w:fill="auto"/>
          <w:vAlign w:val="center"/>
        </w:tcPr>
        <w:p>
          <w:pPr>
            <w:jc w:val="center"/>
            <w:rPr>
              <w:rFonts w:hint="eastAsia" w:ascii="Times New Roman" w:hAnsi="Times New Roman" w:cs="Times New Roman"/>
              <w:bCs/>
              <w:sz w:val="24"/>
              <w:szCs w:val="24"/>
            </w:rPr>
          </w:pPr>
          <w:r>
            <w:rPr>
              <w:rFonts w:hint="eastAsia" w:ascii="Times New Roman" w:hAnsi="Times New Roman" w:cs="Times New Roman"/>
              <w:sz w:val="24"/>
              <w:szCs w:val="24"/>
            </w:rPr>
            <w:t>微生物限度仪</w:t>
          </w:r>
        </w:p>
      </w:tc>
    </w:tr>
  </w:tbl>
  <w:p>
    <w:pPr>
      <w:pStyle w:val="10"/>
    </w:pP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117DB"/>
    <w:multiLevelType w:val="singleLevel"/>
    <w:tmpl w:val="857117DB"/>
    <w:lvl w:ilvl="0" w:tentative="0">
      <w:start w:val="2"/>
      <w:numFmt w:val="chineseCounting"/>
      <w:suff w:val="nothing"/>
      <w:lvlText w:val="%1、"/>
      <w:lvlJc w:val="left"/>
      <w:rPr>
        <w:rFonts w:hint="eastAsia"/>
      </w:rPr>
    </w:lvl>
  </w:abstractNum>
  <w:abstractNum w:abstractNumId="1">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141D4CB"/>
    <w:multiLevelType w:val="singleLevel"/>
    <w:tmpl w:val="D141D4CB"/>
    <w:lvl w:ilvl="0" w:tentative="0">
      <w:start w:val="1"/>
      <w:numFmt w:val="decimal"/>
      <w:suff w:val="space"/>
      <w:lvlText w:val="%1."/>
      <w:lvlJc w:val="left"/>
    </w:lvl>
  </w:abstractNum>
  <w:abstractNum w:abstractNumId="3">
    <w:nsid w:val="011A6E3D"/>
    <w:multiLevelType w:val="multilevel"/>
    <w:tmpl w:val="011A6E3D"/>
    <w:lvl w:ilvl="0" w:tentative="0">
      <w:start w:val="1"/>
      <w:numFmt w:val="decimalZero"/>
      <w:lvlText w:val="URS-%1"/>
      <w:lvlJc w:val="left"/>
      <w:pPr>
        <w:tabs>
          <w:tab w:val="left" w:pos="480"/>
        </w:tabs>
        <w:ind w:left="480" w:hanging="48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5B"/>
    <w:rsid w:val="000065A4"/>
    <w:rsid w:val="000111DC"/>
    <w:rsid w:val="0005005B"/>
    <w:rsid w:val="00074645"/>
    <w:rsid w:val="00075510"/>
    <w:rsid w:val="00161CE9"/>
    <w:rsid w:val="00171D50"/>
    <w:rsid w:val="001B6719"/>
    <w:rsid w:val="001F3450"/>
    <w:rsid w:val="002053FA"/>
    <w:rsid w:val="002067E1"/>
    <w:rsid w:val="00224211"/>
    <w:rsid w:val="002573AF"/>
    <w:rsid w:val="00292060"/>
    <w:rsid w:val="002948C9"/>
    <w:rsid w:val="00352EF1"/>
    <w:rsid w:val="00393AD7"/>
    <w:rsid w:val="003C1529"/>
    <w:rsid w:val="004E6CA9"/>
    <w:rsid w:val="00500B03"/>
    <w:rsid w:val="00500D10"/>
    <w:rsid w:val="00513E2D"/>
    <w:rsid w:val="00545F4E"/>
    <w:rsid w:val="00554801"/>
    <w:rsid w:val="00585505"/>
    <w:rsid w:val="005869EC"/>
    <w:rsid w:val="00591C00"/>
    <w:rsid w:val="005A5C64"/>
    <w:rsid w:val="005C7179"/>
    <w:rsid w:val="006015F8"/>
    <w:rsid w:val="00603F49"/>
    <w:rsid w:val="00631317"/>
    <w:rsid w:val="00673376"/>
    <w:rsid w:val="0071082C"/>
    <w:rsid w:val="00721295"/>
    <w:rsid w:val="007A3E21"/>
    <w:rsid w:val="008160C7"/>
    <w:rsid w:val="008547C0"/>
    <w:rsid w:val="008D6BFF"/>
    <w:rsid w:val="00915E70"/>
    <w:rsid w:val="009442D4"/>
    <w:rsid w:val="0099196A"/>
    <w:rsid w:val="009B649C"/>
    <w:rsid w:val="00A44B51"/>
    <w:rsid w:val="00A77CD0"/>
    <w:rsid w:val="00AC71D7"/>
    <w:rsid w:val="00B95BF9"/>
    <w:rsid w:val="00BD1F79"/>
    <w:rsid w:val="00C61704"/>
    <w:rsid w:val="00CC099C"/>
    <w:rsid w:val="00CC6F5E"/>
    <w:rsid w:val="00D475C8"/>
    <w:rsid w:val="00D47E50"/>
    <w:rsid w:val="00EA1B7F"/>
    <w:rsid w:val="00F0048D"/>
    <w:rsid w:val="00F27824"/>
    <w:rsid w:val="00F70174"/>
    <w:rsid w:val="00F85809"/>
    <w:rsid w:val="00FE0E6C"/>
    <w:rsid w:val="02781BC8"/>
    <w:rsid w:val="0F9D7BD4"/>
    <w:rsid w:val="101E3DAE"/>
    <w:rsid w:val="222A3881"/>
    <w:rsid w:val="2EC11DD7"/>
    <w:rsid w:val="39C42A21"/>
    <w:rsid w:val="473A1CE1"/>
    <w:rsid w:val="5D543B51"/>
    <w:rsid w:val="6769193E"/>
    <w:rsid w:val="684034A8"/>
    <w:rsid w:val="6AD9782B"/>
    <w:rsid w:val="724E26A6"/>
    <w:rsid w:val="7E70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3" w:lineRule="auto"/>
      <w:ind w:left="567" w:hanging="567"/>
      <w:outlineLvl w:val="1"/>
    </w:pPr>
    <w:rPr>
      <w:rFonts w:ascii="Arial" w:hAnsi="Arial" w:eastAsia="宋体" w:cs="Times New Roman"/>
      <w:b/>
      <w:kern w:val="0"/>
      <w:sz w:val="24"/>
      <w:szCs w:val="20"/>
      <w:lang w:eastAsia="en-US"/>
    </w:rPr>
  </w:style>
  <w:style w:type="paragraph" w:styleId="4">
    <w:name w:val="heading 3"/>
    <w:basedOn w:val="1"/>
    <w:next w:val="1"/>
    <w:link w:val="21"/>
    <w:qFormat/>
    <w:uiPriority w:val="99"/>
    <w:pPr>
      <w:keepNext/>
      <w:widowControl/>
      <w:tabs>
        <w:tab w:val="left" w:pos="720"/>
      </w:tabs>
      <w:spacing w:before="240" w:after="60"/>
      <w:ind w:left="720" w:hanging="720"/>
      <w:jc w:val="left"/>
      <w:outlineLvl w:val="2"/>
    </w:pPr>
    <w:rPr>
      <w:rFonts w:ascii="Arial" w:hAnsi="Arial" w:eastAsia="宋体" w:cs="Times New Roman"/>
      <w:b/>
      <w:kern w:val="0"/>
      <w:sz w:val="26"/>
      <w:szCs w:val="20"/>
      <w:lang w:eastAsia="en-U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unhideWhenUsed/>
    <w:qFormat/>
    <w:uiPriority w:val="39"/>
    <w:pPr>
      <w:ind w:left="1260"/>
      <w:jc w:val="left"/>
    </w:pPr>
    <w:rPr>
      <w:rFonts w:cstheme="minorHAnsi"/>
      <w:sz w:val="20"/>
      <w:szCs w:val="20"/>
    </w:rPr>
  </w:style>
  <w:style w:type="paragraph" w:styleId="6">
    <w:name w:val="toc 5"/>
    <w:basedOn w:val="1"/>
    <w:next w:val="1"/>
    <w:semiHidden/>
    <w:unhideWhenUsed/>
    <w:qFormat/>
    <w:uiPriority w:val="39"/>
    <w:pPr>
      <w:ind w:left="840"/>
      <w:jc w:val="left"/>
    </w:pPr>
    <w:rPr>
      <w:rFonts w:cstheme="minorHAnsi"/>
      <w:sz w:val="20"/>
      <w:szCs w:val="20"/>
    </w:rPr>
  </w:style>
  <w:style w:type="paragraph" w:styleId="7">
    <w:name w:val="toc 3"/>
    <w:basedOn w:val="1"/>
    <w:next w:val="1"/>
    <w:unhideWhenUsed/>
    <w:qFormat/>
    <w:uiPriority w:val="39"/>
    <w:pPr>
      <w:ind w:left="420"/>
      <w:jc w:val="left"/>
    </w:pPr>
    <w:rPr>
      <w:rFonts w:cstheme="minorHAnsi"/>
      <w:sz w:val="20"/>
      <w:szCs w:val="20"/>
    </w:rPr>
  </w:style>
  <w:style w:type="paragraph" w:styleId="8">
    <w:name w:val="toc 8"/>
    <w:basedOn w:val="1"/>
    <w:next w:val="1"/>
    <w:semiHidden/>
    <w:unhideWhenUsed/>
    <w:qFormat/>
    <w:uiPriority w:val="39"/>
    <w:pPr>
      <w:ind w:left="1470"/>
      <w:jc w:val="left"/>
    </w:pPr>
    <w:rPr>
      <w:rFonts w:cstheme="minorHAnsi"/>
      <w:sz w:val="20"/>
      <w:szCs w:val="20"/>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240" w:after="120"/>
      <w:jc w:val="left"/>
    </w:pPr>
    <w:rPr>
      <w:rFonts w:cstheme="minorHAnsi"/>
      <w:b/>
      <w:bCs/>
      <w:sz w:val="20"/>
      <w:szCs w:val="20"/>
    </w:rPr>
  </w:style>
  <w:style w:type="paragraph" w:styleId="12">
    <w:name w:val="toc 4"/>
    <w:basedOn w:val="1"/>
    <w:next w:val="1"/>
    <w:semiHidden/>
    <w:unhideWhenUsed/>
    <w:qFormat/>
    <w:uiPriority w:val="39"/>
    <w:pPr>
      <w:ind w:left="630"/>
      <w:jc w:val="left"/>
    </w:pPr>
    <w:rPr>
      <w:rFonts w:cstheme="minorHAnsi"/>
      <w:sz w:val="20"/>
      <w:szCs w:val="20"/>
    </w:rPr>
  </w:style>
  <w:style w:type="paragraph" w:styleId="13">
    <w:name w:val="toc 6"/>
    <w:basedOn w:val="1"/>
    <w:next w:val="1"/>
    <w:semiHidden/>
    <w:unhideWhenUsed/>
    <w:qFormat/>
    <w:uiPriority w:val="39"/>
    <w:pPr>
      <w:ind w:left="1050"/>
      <w:jc w:val="left"/>
    </w:pPr>
    <w:rPr>
      <w:rFonts w:cstheme="minorHAnsi"/>
      <w:sz w:val="20"/>
      <w:szCs w:val="20"/>
    </w:rPr>
  </w:style>
  <w:style w:type="paragraph" w:styleId="14">
    <w:name w:val="toc 2"/>
    <w:basedOn w:val="1"/>
    <w:next w:val="1"/>
    <w:unhideWhenUsed/>
    <w:qFormat/>
    <w:uiPriority w:val="39"/>
    <w:pPr>
      <w:spacing w:before="120"/>
      <w:ind w:left="210"/>
      <w:jc w:val="left"/>
    </w:pPr>
    <w:rPr>
      <w:rFonts w:cstheme="minorHAnsi"/>
      <w:i/>
      <w:iCs/>
      <w:sz w:val="20"/>
      <w:szCs w:val="20"/>
    </w:rPr>
  </w:style>
  <w:style w:type="paragraph" w:styleId="15">
    <w:name w:val="toc 9"/>
    <w:basedOn w:val="1"/>
    <w:next w:val="1"/>
    <w:semiHidden/>
    <w:unhideWhenUsed/>
    <w:qFormat/>
    <w:uiPriority w:val="39"/>
    <w:pPr>
      <w:ind w:left="1680"/>
      <w:jc w:val="left"/>
    </w:pPr>
    <w:rPr>
      <w:rFonts w:cstheme="minorHAnsi"/>
      <w:sz w:val="20"/>
      <w:szCs w:val="20"/>
    </w:rPr>
  </w:style>
  <w:style w:type="table" w:styleId="17">
    <w:name w:val="Table Grid"/>
    <w:basedOn w:val="16"/>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标题 2 字符"/>
    <w:basedOn w:val="18"/>
    <w:link w:val="3"/>
    <w:qFormat/>
    <w:uiPriority w:val="99"/>
    <w:rPr>
      <w:rFonts w:ascii="Arial" w:hAnsi="Arial" w:eastAsia="宋体" w:cs="Times New Roman"/>
      <w:b/>
      <w:kern w:val="0"/>
      <w:sz w:val="24"/>
      <w:szCs w:val="20"/>
      <w:lang w:eastAsia="en-US"/>
    </w:rPr>
  </w:style>
  <w:style w:type="character" w:customStyle="1" w:styleId="21">
    <w:name w:val="标题 3 字符"/>
    <w:basedOn w:val="18"/>
    <w:link w:val="4"/>
    <w:qFormat/>
    <w:uiPriority w:val="9"/>
    <w:rPr>
      <w:rFonts w:ascii="Arial" w:hAnsi="Arial" w:eastAsia="宋体" w:cs="Times New Roman"/>
      <w:b/>
      <w:kern w:val="0"/>
      <w:sz w:val="26"/>
      <w:szCs w:val="20"/>
      <w:lang w:eastAsia="en-US"/>
    </w:rPr>
  </w:style>
  <w:style w:type="paragraph" w:customStyle="1" w:styleId="22">
    <w:name w:val="Table Text"/>
    <w:basedOn w:val="1"/>
    <w:qFormat/>
    <w:uiPriority w:val="0"/>
    <w:pPr>
      <w:widowControl/>
      <w:spacing w:before="60" w:after="60"/>
      <w:jc w:val="center"/>
    </w:pPr>
    <w:rPr>
      <w:rFonts w:ascii="Times New Roman" w:hAnsi="Times New Roman" w:eastAsia="宋体" w:cs="Times New Roman"/>
      <w:bCs/>
      <w:kern w:val="0"/>
      <w:sz w:val="24"/>
      <w:szCs w:val="24"/>
      <w:lang w:eastAsia="en-US"/>
    </w:rPr>
  </w:style>
  <w:style w:type="paragraph" w:styleId="23">
    <w:name w:val="List Paragraph"/>
    <w:basedOn w:val="1"/>
    <w:qFormat/>
    <w:uiPriority w:val="34"/>
    <w:pPr>
      <w:ind w:firstLine="420" w:firstLineChars="200"/>
    </w:pPr>
  </w:style>
  <w:style w:type="paragraph" w:customStyle="1" w:styleId="24">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paragraph" w:customStyle="1" w:styleId="25">
    <w:name w:val="p0"/>
    <w:basedOn w:val="1"/>
    <w:qFormat/>
    <w:uiPriority w:val="99"/>
    <w:pPr>
      <w:widowControl/>
    </w:pPr>
    <w:rPr>
      <w:rFonts w:ascii="Times New Roman" w:hAnsi="Times New Roman" w:eastAsia="宋体" w:cs="Times New Roman"/>
      <w:kern w:val="0"/>
      <w:szCs w:val="21"/>
    </w:rPr>
  </w:style>
  <w:style w:type="character" w:customStyle="1" w:styleId="26">
    <w:name w:val="页眉 字符"/>
    <w:basedOn w:val="18"/>
    <w:link w:val="10"/>
    <w:qFormat/>
    <w:uiPriority w:val="99"/>
    <w:rPr>
      <w:sz w:val="18"/>
      <w:szCs w:val="18"/>
    </w:rPr>
  </w:style>
  <w:style w:type="character" w:customStyle="1" w:styleId="27">
    <w:name w:val="页脚 字符"/>
    <w:basedOn w:val="18"/>
    <w:link w:val="9"/>
    <w:qFormat/>
    <w:uiPriority w:val="99"/>
    <w:rPr>
      <w:sz w:val="18"/>
      <w:szCs w:val="18"/>
    </w:rPr>
  </w:style>
  <w:style w:type="character" w:customStyle="1" w:styleId="28">
    <w:name w:val="标题 1 字符"/>
    <w:basedOn w:val="18"/>
    <w:link w:val="2"/>
    <w:qFormat/>
    <w:uiPriority w:val="9"/>
    <w:rPr>
      <w:b/>
      <w:bCs/>
      <w:kern w:val="44"/>
      <w:sz w:val="44"/>
      <w:szCs w:val="44"/>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30">
    <w:name w:val="WPSOffice手动目录 1"/>
    <w:uiPriority w:val="0"/>
    <w:pPr>
      <w:ind w:leftChars="0"/>
    </w:pPr>
    <w:rPr>
      <w:sz w:val="20"/>
      <w:szCs w:val="20"/>
    </w:rPr>
  </w:style>
  <w:style w:type="paragraph" w:customStyle="1" w:styleId="3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C5162-CAA3-7D40-9A74-23B05091C0C0}">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420</Words>
  <Characters>2400</Characters>
  <Lines>20</Lines>
  <Paragraphs>5</Paragraphs>
  <TotalTime>2</TotalTime>
  <ScaleCrop>false</ScaleCrop>
  <LinksUpToDate>false</LinksUpToDate>
  <CharactersWithSpaces>2815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2020-03-16T07:46:00Z</dcterms:created>
  <dc:creator>Lance Li</dc:creator>
  <cp:lastModifiedBy>睿智~~伦</cp:lastModifiedBy>
  <dcterms:modified xsi:type="dcterms:W3CDTF">2021-11-11T07:40:43Z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718B83CA1F8D488AB7169CB7BE1F2B2B</vt:lpwstr>
  </property>
</Properties>
</file>