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p>
    <w:p>
      <w:pPr>
        <w:pStyle w:val="10"/>
      </w:pPr>
    </w:p>
    <w:p>
      <w:pPr>
        <w:pStyle w:val="10"/>
      </w:pPr>
    </w:p>
    <w:p>
      <w:pPr>
        <w:pStyle w:val="10"/>
      </w:pPr>
      <w:r>
        <w:t>User Requirement Specifications</w:t>
      </w:r>
    </w:p>
    <w:p>
      <w:pPr>
        <w:pStyle w:val="10"/>
      </w:pPr>
      <w:r>
        <w:t>用户需求说明书</w:t>
      </w:r>
      <w:bookmarkStart w:id="14" w:name="_GoBack"/>
      <w:bookmarkEnd w:id="14"/>
    </w:p>
    <w:p>
      <w:pPr>
        <w:pStyle w:val="10"/>
      </w:pPr>
    </w:p>
    <w:p>
      <w:pPr>
        <w:pStyle w:val="10"/>
      </w:pPr>
    </w:p>
    <w:p>
      <w:pPr>
        <w:pStyle w:val="10"/>
      </w:pPr>
      <w:r>
        <w:rPr>
          <w:rFonts w:hint="eastAsia"/>
        </w:rPr>
        <w:t>人类遗传资源管理上海服务站功能提升建设项目</w:t>
      </w: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sectPr>
          <w:footerReference r:id="rId8" w:type="first"/>
          <w:headerReference r:id="rId5" w:type="default"/>
          <w:footerReference r:id="rId6" w:type="default"/>
          <w:footerReference r:id="rId7" w:type="even"/>
          <w:pgSz w:w="11906" w:h="16838"/>
          <w:pgMar w:top="1440" w:right="1803" w:bottom="1440" w:left="1803" w:header="851" w:footer="992" w:gutter="0"/>
          <w:pgNumType w:start="1"/>
          <w:cols w:space="0" w:num="1"/>
          <w:docGrid w:type="lines" w:linePitch="312" w:charSpace="0"/>
        </w:sectPr>
      </w:pPr>
      <w:r>
        <w:rPr>
          <w:rFonts w:hint="eastAsia"/>
        </w:rPr>
        <w:tab/>
      </w:r>
    </w:p>
    <w:p>
      <w:pPr>
        <w:widowControl w:val="0"/>
        <w:ind w:firstLine="420"/>
        <w:jc w:val="both"/>
        <w:rPr>
          <w:rFonts w:cs="Arial"/>
          <w:kern w:val="2"/>
          <w:sz w:val="21"/>
          <w:szCs w:val="18"/>
          <w:lang w:val="en-US" w:bidi="ar-SA"/>
        </w:rPr>
      </w:pPr>
    </w:p>
    <w:sdt>
      <w:sdtPr>
        <w:rPr>
          <w:rFonts w:cs="Angsana New"/>
          <w:b/>
          <w:bCs/>
          <w:snapToGrid/>
          <w:sz w:val="28"/>
          <w:szCs w:val="28"/>
          <w:lang w:val="en-US" w:bidi="ar-SA"/>
        </w:rPr>
        <w:id w:val="147455615"/>
        <w15:color w:val="DBDBDB"/>
        <w:docPartObj>
          <w:docPartGallery w:val="Table of Contents"/>
          <w:docPartUnique/>
        </w:docPartObj>
      </w:sdtPr>
      <w:sdtEndPr>
        <w:rPr>
          <w:rFonts w:cs="宋体"/>
          <w:b/>
          <w:bCs/>
          <w:snapToGrid w:val="0"/>
          <w:sz w:val="21"/>
          <w:szCs w:val="28"/>
          <w:lang w:val="en-GB" w:bidi="th-TH"/>
        </w:rPr>
      </w:sdtEndPr>
      <w:sdtContent>
        <w:p>
          <w:pPr>
            <w:ind w:firstLine="562"/>
            <w:jc w:val="center"/>
            <w:rPr>
              <w:sz w:val="28"/>
              <w:szCs w:val="28"/>
            </w:rPr>
          </w:pPr>
          <w:r>
            <w:rPr>
              <w:sz w:val="28"/>
              <w:szCs w:val="28"/>
            </w:rPr>
            <w:t>目录</w:t>
          </w:r>
        </w:p>
        <w:p>
          <w:pPr>
            <w:pStyle w:val="7"/>
            <w:tabs>
              <w:tab w:val="right" w:leader="dot" w:pos="8300"/>
            </w:tabs>
          </w:pPr>
          <w:r>
            <w:rPr>
              <w:rFonts w:ascii="Times New Roman" w:hAnsi="Times New Roman" w:cs="Times New Roman"/>
            </w:rPr>
            <w:fldChar w:fldCharType="begin"/>
          </w:r>
          <w:r>
            <w:rPr>
              <w:rFonts w:ascii="Times New Roman" w:hAnsi="Times New Roman" w:cs="Times New Roman"/>
            </w:rPr>
            <w:instrText xml:space="preserve">TOC \o "1-2" \h \u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HYPERLINK \l _Toc9329 </w:instrText>
          </w:r>
          <w:r>
            <w:rPr>
              <w:rFonts w:ascii="Times New Roman" w:hAnsi="Times New Roman" w:cs="Times New Roman"/>
            </w:rPr>
            <w:fldChar w:fldCharType="separate"/>
          </w:r>
          <w:r>
            <w:rPr>
              <w:rFonts w:hint="eastAsia"/>
              <w:lang w:val="en-GB"/>
            </w:rPr>
            <w:t xml:space="preserve">一、 </w:t>
          </w:r>
          <w:r>
            <w:rPr>
              <w:rFonts w:hint="eastAsia"/>
            </w:rPr>
            <w:t>编写目的</w:t>
          </w:r>
          <w:r>
            <w:tab/>
          </w:r>
          <w:r>
            <w:fldChar w:fldCharType="begin"/>
          </w:r>
          <w:r>
            <w:instrText xml:space="preserve"> PAGEREF _Toc9329 \h </w:instrText>
          </w:r>
          <w:r>
            <w:fldChar w:fldCharType="separate"/>
          </w:r>
          <w:r>
            <w:t>3</w:t>
          </w:r>
          <w:r>
            <w:fldChar w:fldCharType="end"/>
          </w:r>
          <w:r>
            <w:rPr>
              <w:rFonts w:ascii="Times New Roman" w:hAnsi="Times New Roman" w:cs="Times New Roman"/>
            </w:rPr>
            <w:fldChar w:fldCharType="end"/>
          </w:r>
        </w:p>
        <w:p>
          <w:pPr>
            <w:pStyle w:val="7"/>
            <w:tabs>
              <w:tab w:val="right" w:leader="dot" w:pos="8300"/>
            </w:tabs>
          </w:pPr>
          <w:r>
            <w:fldChar w:fldCharType="begin"/>
          </w:r>
          <w:r>
            <w:instrText xml:space="preserve"> HYPERLINK \l _Toc25397 </w:instrText>
          </w:r>
          <w:r>
            <w:fldChar w:fldCharType="separate"/>
          </w:r>
          <w:r>
            <w:rPr>
              <w:rFonts w:hint="eastAsia"/>
              <w:lang w:val="en-GB"/>
            </w:rPr>
            <w:t xml:space="preserve">二、 </w:t>
          </w:r>
          <w:r>
            <w:rPr>
              <w:rFonts w:hint="eastAsia"/>
              <w:lang w:val="en-US"/>
            </w:rPr>
            <w:t>适用范围</w:t>
          </w:r>
          <w:r>
            <w:tab/>
          </w:r>
          <w:r>
            <w:fldChar w:fldCharType="begin"/>
          </w:r>
          <w:r>
            <w:instrText xml:space="preserve"> PAGEREF _Toc25397 \h </w:instrText>
          </w:r>
          <w:r>
            <w:fldChar w:fldCharType="separate"/>
          </w:r>
          <w:r>
            <w:t>3</w:t>
          </w:r>
          <w:r>
            <w:fldChar w:fldCharType="end"/>
          </w:r>
          <w:r>
            <w:fldChar w:fldCharType="end"/>
          </w:r>
        </w:p>
        <w:p>
          <w:pPr>
            <w:pStyle w:val="7"/>
            <w:tabs>
              <w:tab w:val="right" w:leader="dot" w:pos="8300"/>
            </w:tabs>
          </w:pPr>
          <w:r>
            <w:fldChar w:fldCharType="begin"/>
          </w:r>
          <w:r>
            <w:instrText xml:space="preserve"> HYPERLINK \l _Toc25106 </w:instrText>
          </w:r>
          <w:r>
            <w:fldChar w:fldCharType="separate"/>
          </w:r>
          <w:r>
            <w:rPr>
              <w:rFonts w:hint="eastAsia"/>
              <w:lang w:val="en-GB"/>
            </w:rPr>
            <w:t xml:space="preserve">三、 </w:t>
          </w:r>
          <w:r>
            <w:rPr>
              <w:rFonts w:hint="eastAsia"/>
            </w:rPr>
            <w:t>项目背景</w:t>
          </w:r>
          <w:r>
            <w:tab/>
          </w:r>
          <w:r>
            <w:fldChar w:fldCharType="begin"/>
          </w:r>
          <w:r>
            <w:instrText xml:space="preserve"> PAGEREF _Toc25106 \h </w:instrText>
          </w:r>
          <w:r>
            <w:fldChar w:fldCharType="separate"/>
          </w:r>
          <w:r>
            <w:t>3</w:t>
          </w:r>
          <w:r>
            <w:fldChar w:fldCharType="end"/>
          </w:r>
          <w:r>
            <w:fldChar w:fldCharType="end"/>
          </w:r>
        </w:p>
        <w:p>
          <w:pPr>
            <w:pStyle w:val="7"/>
            <w:tabs>
              <w:tab w:val="right" w:leader="dot" w:pos="8300"/>
            </w:tabs>
          </w:pPr>
          <w:r>
            <w:fldChar w:fldCharType="begin"/>
          </w:r>
          <w:r>
            <w:instrText xml:space="preserve"> HYPERLINK \l _Toc9518 </w:instrText>
          </w:r>
          <w:r>
            <w:fldChar w:fldCharType="separate"/>
          </w:r>
          <w:r>
            <w:rPr>
              <w:rFonts w:hint="eastAsia"/>
              <w:lang w:val="en-GB" w:eastAsia="zh-CN"/>
            </w:rPr>
            <w:t xml:space="preserve">四、 </w:t>
          </w:r>
          <w:r>
            <w:rPr>
              <w:rFonts w:hint="eastAsia"/>
              <w:lang w:val="en-US" w:eastAsia="zh-CN"/>
            </w:rPr>
            <w:t>服务内容</w:t>
          </w:r>
          <w:r>
            <w:tab/>
          </w:r>
          <w:r>
            <w:fldChar w:fldCharType="begin"/>
          </w:r>
          <w:r>
            <w:instrText xml:space="preserve"> PAGEREF _Toc9518 \h </w:instrText>
          </w:r>
          <w:r>
            <w:fldChar w:fldCharType="separate"/>
          </w:r>
          <w:r>
            <w:t>4</w:t>
          </w:r>
          <w:r>
            <w:fldChar w:fldCharType="end"/>
          </w:r>
          <w:r>
            <w:fldChar w:fldCharType="end"/>
          </w:r>
        </w:p>
        <w:p>
          <w:pPr>
            <w:tabs>
              <w:tab w:val="right" w:leader="dot" w:pos="9354"/>
            </w:tabs>
            <w:ind w:left="240" w:leftChars="100" w:firstLine="480"/>
          </w:pPr>
          <w:r>
            <w:fldChar w:fldCharType="end"/>
          </w:r>
        </w:p>
      </w:sdtContent>
    </w:sdt>
    <w:p>
      <w:pPr>
        <w:ind w:firstLine="480"/>
      </w:pPr>
      <w:r>
        <w:rPr>
          <w:rFonts w:hint="eastAsia"/>
        </w:rPr>
        <w:br w:type="page"/>
      </w:r>
    </w:p>
    <w:p>
      <w:pPr>
        <w:pStyle w:val="2"/>
        <w:spacing w:before="156" w:after="156"/>
      </w:pPr>
      <w:bookmarkStart w:id="0" w:name="_Toc28071"/>
      <w:bookmarkStart w:id="1" w:name="_Toc24756_WPSOffice_Level1"/>
      <w:bookmarkStart w:id="2" w:name="_Toc92389800"/>
      <w:bookmarkStart w:id="3" w:name="_Toc8619"/>
      <w:bookmarkStart w:id="4" w:name="_Toc9329"/>
      <w:r>
        <w:rPr>
          <w:rFonts w:hint="eastAsia"/>
        </w:rPr>
        <w:t>编写目的</w:t>
      </w:r>
      <w:bookmarkEnd w:id="0"/>
      <w:bookmarkEnd w:id="1"/>
      <w:bookmarkEnd w:id="2"/>
      <w:bookmarkEnd w:id="3"/>
      <w:bookmarkEnd w:id="4"/>
    </w:p>
    <w:p>
      <w:pPr>
        <w:ind w:firstLine="480"/>
        <w:jc w:val="both"/>
      </w:pPr>
      <w:r>
        <w:rPr>
          <w:rFonts w:hint="eastAsia"/>
        </w:rPr>
        <w:t>本用户需求说明书（URS）旨在确保“人类遗传资源管理上海服务站功能提升建设</w:t>
      </w:r>
      <w:r>
        <w:rPr>
          <w:rFonts w:hint="eastAsia" w:ascii="Times New Roman" w:hAnsi="Times New Roman" w:cs="Times New Roman"/>
          <w:kern w:val="2"/>
          <w:lang w:val="en-US" w:bidi="ar-SA"/>
        </w:rPr>
        <w:t>项目</w:t>
      </w:r>
      <w:r>
        <w:rPr>
          <w:rFonts w:hint="eastAsia"/>
        </w:rPr>
        <w:t>”在招标、采购、确认和验收过程中，供应商所提供的服务产品在方案规划、提供过程、服务监督、绩效考核等方面满足招标人的需求，本文件同时作为服务各阶段质量和数量验收、以及服务期满后的项目终验的参考标准。</w:t>
      </w:r>
    </w:p>
    <w:p>
      <w:pPr>
        <w:pStyle w:val="2"/>
        <w:spacing w:before="156" w:after="156"/>
      </w:pPr>
      <w:bookmarkStart w:id="5" w:name="_Toc92389801"/>
      <w:bookmarkStart w:id="6" w:name="_Toc25397"/>
      <w:bookmarkStart w:id="7" w:name="_Toc23639"/>
      <w:bookmarkStart w:id="8" w:name="_Toc19674"/>
      <w:r>
        <w:rPr>
          <w:rFonts w:hint="eastAsia"/>
          <w:lang w:val="en-US"/>
        </w:rPr>
        <w:t>适用范围</w:t>
      </w:r>
      <w:bookmarkEnd w:id="5"/>
      <w:bookmarkEnd w:id="6"/>
      <w:bookmarkEnd w:id="7"/>
      <w:bookmarkEnd w:id="8"/>
    </w:p>
    <w:p>
      <w:pPr>
        <w:ind w:firstLine="480"/>
        <w:jc w:val="both"/>
      </w:pPr>
      <w:bookmarkStart w:id="9" w:name="_Toc193257273"/>
      <w:bookmarkStart w:id="10" w:name="_Toc18612_WPSOffice_Level1"/>
      <w:r>
        <w:rPr>
          <w:rFonts w:hint="eastAsia"/>
        </w:rPr>
        <w:t>本URS适用于“人类遗传资源管理上海服务站功能提升建设</w:t>
      </w:r>
      <w:r>
        <w:rPr>
          <w:rFonts w:hint="eastAsia"/>
          <w:lang w:val="en-US" w:eastAsia="zh-CN"/>
        </w:rPr>
        <w:t>项目</w:t>
      </w:r>
      <w:r>
        <w:rPr>
          <w:rFonts w:hint="eastAsia"/>
        </w:rPr>
        <w:t>”的招标、采购、确认和验收过程，系统性阐述了该项目的需求内涵、对相关法规的符合度要求及其他用户需求。</w:t>
      </w:r>
    </w:p>
    <w:p>
      <w:pPr>
        <w:ind w:firstLine="480"/>
      </w:pPr>
      <w:r>
        <w:rPr>
          <w:rFonts w:hint="eastAsia"/>
        </w:rPr>
        <w:t>本USR阐明了采购人对本次项目所采购服务的内容、数量以及预期效果，但对供应商在提供服务过程中所投入的资源不做额外限制。供应商可在满足政府法律或有关行业规定的前提下，综合考量项目服务标准及自身实际情况，妥善安排所投资源（如人员、设备、工具等），以提供更高质量的服务内容。</w:t>
      </w:r>
    </w:p>
    <w:bookmarkEnd w:id="9"/>
    <w:bookmarkEnd w:id="10"/>
    <w:p>
      <w:pPr>
        <w:pStyle w:val="2"/>
        <w:spacing w:before="156" w:after="156"/>
      </w:pPr>
      <w:bookmarkStart w:id="11" w:name="_Toc25106"/>
      <w:r>
        <w:rPr>
          <w:rFonts w:hint="eastAsia"/>
        </w:rPr>
        <w:t>项目背景</w:t>
      </w:r>
      <w:bookmarkEnd w:id="11"/>
    </w:p>
    <w:p>
      <w:pPr>
        <w:ind w:firstLine="480"/>
        <w:rPr>
          <w:rFonts w:hint="eastAsia"/>
        </w:rPr>
      </w:pPr>
      <w:bookmarkStart w:id="12" w:name="_Toc15417"/>
      <w:r>
        <w:rPr>
          <w:rFonts w:hint="eastAsia"/>
        </w:rPr>
        <w:t>人类遗传资源是公众健康和生命安全的战略性、基础性资源，也是疾病转化医学研究、精准医疗战略实施</w:t>
      </w:r>
      <w:r>
        <w:rPr>
          <w:rFonts w:hint="eastAsia"/>
          <w:lang w:val="en-US" w:eastAsia="zh-CN"/>
        </w:rPr>
        <w:t>和</w:t>
      </w:r>
      <w:r>
        <w:rPr>
          <w:rFonts w:hint="eastAsia"/>
        </w:rPr>
        <w:t>创新药械研发的基石。随着生命科学和生物技术的快速发展，人类遗传资源的独特性、战略性、基础性地位和价值日益凸显。</w:t>
      </w:r>
    </w:p>
    <w:p>
      <w:pPr>
        <w:ind w:firstLine="480"/>
        <w:rPr>
          <w:rFonts w:hint="eastAsia"/>
          <w:lang w:val="en-US" w:eastAsia="zh-CN"/>
        </w:rPr>
      </w:pPr>
      <w:r>
        <w:rPr>
          <w:rFonts w:hint="eastAsia"/>
          <w:lang w:val="en-US" w:eastAsia="zh-CN"/>
        </w:rPr>
        <w:t>2022年10月，在上海市科学技术委员会的支持下，依托上海市生物医药科技发展中心（以下简称“市生药中心”）设立</w:t>
      </w:r>
      <w:r>
        <w:rPr>
          <w:rFonts w:hint="eastAsia"/>
        </w:rPr>
        <w:t>人类遗传资源管理上海服务站（简称“上海服务站”）</w:t>
      </w:r>
      <w:r>
        <w:rPr>
          <w:rFonts w:hint="eastAsia"/>
          <w:lang w:eastAsia="zh-CN"/>
        </w:rPr>
        <w:t>。</w:t>
      </w:r>
      <w:r>
        <w:rPr>
          <w:rFonts w:hint="eastAsia"/>
          <w:lang w:val="en-US" w:eastAsia="zh-CN"/>
        </w:rPr>
        <w:t>其主要职能为上海地区开展人类遗传资源活动的相关单位，提供咨询、培训及协助检查等服务。</w:t>
      </w:r>
    </w:p>
    <w:p>
      <w:pPr>
        <w:ind w:firstLine="480"/>
        <w:rPr>
          <w:rFonts w:hint="eastAsia"/>
          <w:lang w:val="en-US" w:eastAsia="zh-CN"/>
        </w:rPr>
      </w:pPr>
      <w:r>
        <w:rPr>
          <w:rFonts w:hint="eastAsia"/>
        </w:rPr>
        <w:t>为深入贯彻落实《中华人民共和国生物安全法》、《中华人民共和国人类遗传资源管理条例》，进一步加强上海地区人类遗传资源管理和服务工作，更好地服务于上海生物医药科技创新和产业发展，上海服务站</w:t>
      </w:r>
      <w:r>
        <w:rPr>
          <w:rFonts w:hint="eastAsia"/>
          <w:lang w:val="en-US" w:eastAsia="zh-CN"/>
        </w:rPr>
        <w:t>将做相关功能提升建设。</w:t>
      </w:r>
    </w:p>
    <w:p>
      <w:pPr>
        <w:pStyle w:val="2"/>
        <w:spacing w:before="156" w:after="156"/>
        <w:ind w:firstLine="480"/>
        <w:rPr>
          <w:rFonts w:hint="eastAsia"/>
          <w:lang w:val="en-US" w:eastAsia="zh-CN"/>
        </w:rPr>
      </w:pPr>
      <w:bookmarkStart w:id="13" w:name="_Toc9518"/>
      <w:r>
        <w:rPr>
          <w:rFonts w:hint="eastAsia"/>
          <w:lang w:val="en-US" w:eastAsia="zh-CN"/>
        </w:rPr>
        <w:t>服务内容</w:t>
      </w:r>
      <w:bookmarkEnd w:id="13"/>
    </w:p>
    <w:p>
      <w:pPr>
        <w:ind w:firstLine="480"/>
      </w:pPr>
      <w:r>
        <w:t>本项目核心</w:t>
      </w:r>
      <w:r>
        <w:rPr>
          <w:rFonts w:hint="eastAsia"/>
        </w:rPr>
        <w:t>服务内容将</w:t>
      </w:r>
      <w:r>
        <w:t>围绕</w:t>
      </w:r>
      <w:r>
        <w:rPr>
          <w:rFonts w:hint="eastAsia"/>
          <w:lang w:eastAsia="zh-CN"/>
        </w:rPr>
        <w:t>上海服务站</w:t>
      </w:r>
      <w:r>
        <w:rPr>
          <w:rFonts w:hint="eastAsia"/>
        </w:rPr>
        <w:t>的工作内容展开，服务内容及质量要求如下：</w:t>
      </w:r>
    </w:p>
    <w:p>
      <w:pPr>
        <w:ind w:firstLine="480"/>
      </w:pPr>
    </w:p>
    <w:tbl>
      <w:tblPr>
        <w:tblStyle w:val="11"/>
        <w:tblpPr w:leftFromText="181" w:rightFromText="181" w:vertAnchor="text" w:horzAnchor="page" w:tblpXSpec="center" w:tblpY="10"/>
        <w:tblOverlap w:val="never"/>
        <w:tblW w:w="5085"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736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50" w:type="pct"/>
            <w:shd w:val="clear" w:color="auto" w:fill="C0C0C0"/>
            <w:vAlign w:val="center"/>
          </w:tcPr>
          <w:p>
            <w:pPr>
              <w:pStyle w:val="16"/>
              <w:framePr w:hSpace="0" w:wrap="auto" w:vAnchor="margin" w:hAnchor="text" w:xAlign="left" w:yAlign="inline"/>
            </w:pPr>
            <w:r>
              <w:t>需求编号</w:t>
            </w:r>
          </w:p>
        </w:tc>
        <w:tc>
          <w:tcPr>
            <w:tcW w:w="4250" w:type="pct"/>
            <w:shd w:val="clear" w:color="auto" w:fill="C0C0C0"/>
            <w:vAlign w:val="center"/>
          </w:tcPr>
          <w:p>
            <w:pPr>
              <w:pStyle w:val="16"/>
              <w:framePr w:hSpace="0" w:wrap="auto" w:vAnchor="margin" w:hAnchor="text" w:xAlign="left" w:yAlign="inline"/>
            </w:pPr>
            <w:r>
              <w:t>需</w:t>
            </w:r>
            <w:r>
              <w:rPr>
                <w:rFonts w:hint="eastAsia"/>
              </w:rPr>
              <w:t xml:space="preserve"> </w:t>
            </w:r>
            <w:r>
              <w:t xml:space="preserve">        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50" w:type="pct"/>
            <w:vAlign w:val="center"/>
          </w:tcPr>
          <w:p>
            <w:pPr>
              <w:pStyle w:val="20"/>
              <w:framePr w:hSpace="0" w:wrap="auto" w:vAnchor="margin" w:hAnchor="text" w:xAlign="left" w:yAlign="inline"/>
            </w:pPr>
            <w:r>
              <w:rPr>
                <w:rFonts w:hint="eastAsia"/>
              </w:rPr>
              <w:t>URS</w:t>
            </w:r>
            <w:r>
              <w:t>-1</w:t>
            </w:r>
          </w:p>
        </w:tc>
        <w:tc>
          <w:tcPr>
            <w:tcW w:w="4250" w:type="pct"/>
            <w:vAlign w:val="center"/>
          </w:tcPr>
          <w:p>
            <w:pPr>
              <w:pStyle w:val="20"/>
              <w:framePr w:hSpace="0" w:wrap="auto" w:vAnchor="margin" w:hAnchor="text" w:xAlign="left" w:yAlign="inline"/>
              <w:spacing w:line="312" w:lineRule="auto"/>
              <w:ind w:firstLine="0" w:firstLineChars="0"/>
              <w:jc w:val="left"/>
              <w:rPr>
                <w:sz w:val="21"/>
              </w:rPr>
            </w:pPr>
            <w:r>
              <w:rPr>
                <w:rFonts w:hint="eastAsia"/>
                <w:sz w:val="21"/>
              </w:rPr>
              <w:t>数据治理服务</w:t>
            </w:r>
          </w:p>
          <w:p>
            <w:pPr>
              <w:pStyle w:val="25"/>
              <w:framePr w:wrap="auto" w:vAnchor="margin" w:hAnchor="text" w:yAlign="inline"/>
              <w:spacing w:line="312" w:lineRule="auto"/>
              <w:ind w:firstLine="420" w:firstLineChars="200"/>
              <w:rPr>
                <w:rFonts w:hint="eastAsia"/>
                <w:sz w:val="21"/>
              </w:rPr>
            </w:pPr>
            <w:r>
              <w:rPr>
                <w:rFonts w:hint="eastAsia"/>
                <w:sz w:val="21"/>
              </w:rPr>
              <w:t>面向</w:t>
            </w:r>
            <w:r>
              <w:rPr>
                <w:rFonts w:hint="eastAsia"/>
                <w:sz w:val="21"/>
                <w:lang w:val="en-US" w:eastAsia="zh-CN"/>
              </w:rPr>
              <w:t>市</w:t>
            </w:r>
            <w:r>
              <w:rPr>
                <w:rFonts w:hint="eastAsia"/>
                <w:sz w:val="21"/>
              </w:rPr>
              <w:t>生药中心及</w:t>
            </w:r>
            <w:r>
              <w:rPr>
                <w:rFonts w:hint="eastAsia"/>
                <w:sz w:val="21"/>
                <w:lang w:eastAsia="zh-CN"/>
              </w:rPr>
              <w:t>上海服务站</w:t>
            </w:r>
            <w:r>
              <w:rPr>
                <w:rFonts w:hint="eastAsia"/>
                <w:sz w:val="21"/>
              </w:rPr>
              <w:t>提供数据治理服务，包括数据收集及清理、工具运维工</w:t>
            </w:r>
            <w:r>
              <w:rPr>
                <w:rFonts w:hint="eastAsia"/>
                <w:i w:val="0"/>
                <w:iCs w:val="0"/>
                <w:sz w:val="21"/>
              </w:rPr>
              <w:t>作</w:t>
            </w:r>
            <w:r>
              <w:rPr>
                <w:rFonts w:hint="eastAsia"/>
                <w:i w:val="0"/>
                <w:iCs w:val="0"/>
                <w:sz w:val="21"/>
                <w:lang w:eastAsia="zh-CN"/>
              </w:rPr>
              <w:t>。</w:t>
            </w:r>
            <w:r>
              <w:rPr>
                <w:rFonts w:hint="eastAsia"/>
                <w:b/>
                <w:bCs w:val="0"/>
                <w:i w:val="0"/>
                <w:iCs w:val="0"/>
                <w:sz w:val="21"/>
                <w:u w:val="single"/>
              </w:rPr>
              <w:t>供应商须自行准备相应的数字化工具或系统以满足服务要求</w:t>
            </w:r>
            <w:r>
              <w:rPr>
                <w:rFonts w:hint="eastAsia"/>
                <w:i w:val="0"/>
                <w:iCs w:val="0"/>
                <w:sz w:val="21"/>
              </w:rPr>
              <w:t>，</w:t>
            </w:r>
            <w:r>
              <w:rPr>
                <w:rFonts w:hint="eastAsia"/>
                <w:sz w:val="21"/>
              </w:rPr>
              <w:t>。具体工作内容如下：</w:t>
            </w:r>
          </w:p>
          <w:p>
            <w:pPr>
              <w:pStyle w:val="25"/>
              <w:framePr w:wrap="auto" w:vAnchor="margin" w:hAnchor="text" w:yAlign="inline"/>
              <w:spacing w:line="312" w:lineRule="auto"/>
              <w:ind w:firstLine="422" w:firstLineChars="200"/>
              <w:rPr>
                <w:b/>
                <w:bCs w:val="0"/>
                <w:sz w:val="21"/>
              </w:rPr>
            </w:pPr>
            <w:r>
              <w:rPr>
                <w:rFonts w:hint="eastAsia"/>
                <w:b/>
                <w:bCs w:val="0"/>
                <w:sz w:val="21"/>
              </w:rPr>
              <w:t>1</w:t>
            </w:r>
            <w:r>
              <w:rPr>
                <w:rFonts w:hint="eastAsia"/>
                <w:b/>
                <w:bCs w:val="0"/>
                <w:sz w:val="21"/>
                <w:lang w:eastAsia="zh-CN"/>
              </w:rPr>
              <w:t>、</w:t>
            </w:r>
            <w:r>
              <w:rPr>
                <w:rFonts w:hint="eastAsia"/>
                <w:b/>
                <w:bCs w:val="0"/>
                <w:sz w:val="21"/>
              </w:rPr>
              <w:t>数据运维工作</w:t>
            </w:r>
          </w:p>
          <w:p>
            <w:pPr>
              <w:pStyle w:val="25"/>
              <w:framePr w:wrap="auto" w:vAnchor="margin" w:hAnchor="text" w:yAlign="inline"/>
              <w:spacing w:line="312" w:lineRule="auto"/>
              <w:ind w:firstLine="420" w:firstLineChars="200"/>
              <w:rPr>
                <w:sz w:val="21"/>
              </w:rPr>
            </w:pPr>
            <w:r>
              <w:rPr>
                <w:rFonts w:hint="eastAsia"/>
                <w:sz w:val="21"/>
              </w:rPr>
              <w:t>确保工具系统的稳定运行，包括对数据采集、存储和分析系统进行监控和维护，以及对系统进行升级和更新。</w:t>
            </w:r>
          </w:p>
          <w:p>
            <w:pPr>
              <w:pStyle w:val="25"/>
              <w:framePr w:wrap="auto" w:vAnchor="margin" w:hAnchor="text" w:yAlign="inline"/>
              <w:spacing w:line="312" w:lineRule="auto"/>
              <w:ind w:firstLine="422" w:firstLineChars="200"/>
              <w:rPr>
                <w:b/>
                <w:bCs w:val="0"/>
                <w:sz w:val="21"/>
              </w:rPr>
            </w:pPr>
            <w:r>
              <w:rPr>
                <w:rFonts w:hint="eastAsia"/>
                <w:b/>
                <w:bCs w:val="0"/>
                <w:sz w:val="21"/>
              </w:rPr>
              <w:t>2</w:t>
            </w:r>
            <w:r>
              <w:rPr>
                <w:rFonts w:hint="eastAsia"/>
                <w:b/>
                <w:bCs w:val="0"/>
                <w:sz w:val="21"/>
                <w:lang w:eastAsia="zh-CN"/>
              </w:rPr>
              <w:t>、</w:t>
            </w:r>
            <w:r>
              <w:rPr>
                <w:rFonts w:hint="eastAsia"/>
                <w:b/>
                <w:bCs w:val="0"/>
                <w:sz w:val="21"/>
              </w:rPr>
              <w:t>定期更新行业动态</w:t>
            </w:r>
          </w:p>
          <w:p>
            <w:pPr>
              <w:pStyle w:val="25"/>
              <w:framePr w:wrap="auto" w:vAnchor="margin" w:hAnchor="text" w:yAlign="inline"/>
              <w:spacing w:line="312" w:lineRule="auto"/>
              <w:ind w:firstLine="420" w:firstLineChars="200"/>
              <w:rPr>
                <w:sz w:val="21"/>
                <w:highlight w:val="none"/>
              </w:rPr>
            </w:pPr>
            <w:r>
              <w:rPr>
                <w:rFonts w:hint="eastAsia"/>
                <w:sz w:val="21"/>
              </w:rPr>
              <w:t>定期从互联网公开渠道获取最新的行业动态信息</w:t>
            </w:r>
            <w:r>
              <w:rPr>
                <w:rFonts w:hint="eastAsia"/>
                <w:sz w:val="21"/>
                <w:highlight w:val="none"/>
              </w:rPr>
              <w:t>，并及时向业内企业用户进行推送，以便企业能了解最新的市场动态。</w:t>
            </w:r>
          </w:p>
          <w:p>
            <w:pPr>
              <w:pStyle w:val="25"/>
              <w:framePr w:wrap="auto" w:vAnchor="margin" w:hAnchor="text" w:yAlign="inline"/>
              <w:spacing w:line="312" w:lineRule="auto"/>
              <w:ind w:firstLine="422" w:firstLineChars="200"/>
              <w:rPr>
                <w:b/>
                <w:bCs w:val="0"/>
                <w:sz w:val="21"/>
              </w:rPr>
            </w:pPr>
            <w:r>
              <w:rPr>
                <w:rFonts w:hint="eastAsia"/>
                <w:b/>
                <w:bCs w:val="0"/>
                <w:sz w:val="21"/>
              </w:rPr>
              <w:t>3</w:t>
            </w:r>
            <w:r>
              <w:rPr>
                <w:rFonts w:hint="eastAsia"/>
                <w:b/>
                <w:bCs w:val="0"/>
                <w:sz w:val="21"/>
                <w:lang w:eastAsia="zh-CN"/>
              </w:rPr>
              <w:t>、</w:t>
            </w:r>
            <w:r>
              <w:rPr>
                <w:rFonts w:hint="eastAsia"/>
                <w:b/>
                <w:bCs w:val="0"/>
                <w:sz w:val="21"/>
              </w:rPr>
              <w:t>建立企业画像</w:t>
            </w:r>
          </w:p>
          <w:p>
            <w:pPr>
              <w:pStyle w:val="25"/>
              <w:framePr w:wrap="auto" w:vAnchor="margin" w:hAnchor="text" w:yAlign="inline"/>
              <w:spacing w:line="312" w:lineRule="auto"/>
              <w:ind w:firstLine="420" w:firstLineChars="200"/>
              <w:rPr>
                <w:sz w:val="21"/>
              </w:rPr>
            </w:pPr>
            <w:r>
              <w:rPr>
                <w:rFonts w:hint="eastAsia"/>
                <w:sz w:val="21"/>
              </w:rPr>
              <w:t>在互联网公开数据的基础上叠加供应商在服务过程中收集和积累的企业数据，并进行综合分析，为服务范围内的每家企业用户建设“一企一档”企业画像。企业画像的数据治理范围至少包括基本信息、经营状况、科技创新</w:t>
            </w:r>
            <w:r>
              <w:rPr>
                <w:rFonts w:hint="eastAsia"/>
                <w:sz w:val="21"/>
                <w:lang w:val="en-US" w:eastAsia="zh-CN"/>
              </w:rPr>
              <w:t>和</w:t>
            </w:r>
            <w:r>
              <w:rPr>
                <w:rFonts w:hint="eastAsia"/>
                <w:sz w:val="21"/>
              </w:rPr>
              <w:t>风险信息维度。</w:t>
            </w:r>
          </w:p>
          <w:p>
            <w:pPr>
              <w:pStyle w:val="25"/>
              <w:framePr w:wrap="auto" w:vAnchor="margin" w:hAnchor="text" w:yAlign="inline"/>
              <w:spacing w:line="312" w:lineRule="auto"/>
              <w:ind w:firstLine="422" w:firstLineChars="200"/>
              <w:rPr>
                <w:b/>
                <w:bCs w:val="0"/>
                <w:sz w:val="21"/>
              </w:rPr>
            </w:pPr>
            <w:r>
              <w:rPr>
                <w:rFonts w:hint="eastAsia"/>
                <w:b/>
                <w:bCs w:val="0"/>
                <w:sz w:val="21"/>
              </w:rPr>
              <w:t>4</w:t>
            </w:r>
            <w:r>
              <w:rPr>
                <w:rFonts w:hint="eastAsia"/>
                <w:b/>
                <w:bCs w:val="0"/>
                <w:sz w:val="21"/>
                <w:lang w:eastAsia="zh-CN"/>
              </w:rPr>
              <w:t>、</w:t>
            </w:r>
            <w:r>
              <w:rPr>
                <w:rFonts w:hint="eastAsia"/>
                <w:b/>
                <w:bCs w:val="0"/>
                <w:sz w:val="21"/>
              </w:rPr>
              <w:t>数据分析及报告服务</w:t>
            </w:r>
          </w:p>
          <w:p>
            <w:pPr>
              <w:pStyle w:val="25"/>
              <w:framePr w:wrap="auto" w:vAnchor="margin" w:hAnchor="text" w:yAlign="inline"/>
              <w:spacing w:line="312" w:lineRule="auto"/>
              <w:ind w:firstLine="420" w:firstLineChars="200"/>
              <w:rPr>
                <w:rFonts w:hint="eastAsia"/>
                <w:sz w:val="21"/>
              </w:rPr>
            </w:pPr>
            <w:r>
              <w:rPr>
                <w:rFonts w:hint="eastAsia"/>
                <w:sz w:val="21"/>
              </w:rPr>
              <w:t>使用先进的数据分析和可视化技术，将收集到的数据转化为易于理解和使用的信息，以帮助</w:t>
            </w:r>
            <w:r>
              <w:rPr>
                <w:rFonts w:hint="eastAsia"/>
                <w:sz w:val="21"/>
                <w:lang w:val="en-US" w:eastAsia="zh-CN"/>
              </w:rPr>
              <w:t>市生药</w:t>
            </w:r>
            <w:r>
              <w:rPr>
                <w:rFonts w:hint="eastAsia"/>
                <w:sz w:val="21"/>
              </w:rPr>
              <w:t>中心更好地了解人类遗传</w:t>
            </w:r>
            <w:r>
              <w:rPr>
                <w:rFonts w:hint="eastAsia"/>
                <w:sz w:val="21"/>
                <w:lang w:val="en-US" w:eastAsia="zh-CN"/>
              </w:rPr>
              <w:t>资源</w:t>
            </w:r>
            <w:r>
              <w:rPr>
                <w:rFonts w:hint="eastAsia"/>
                <w:sz w:val="21"/>
              </w:rPr>
              <w:t>相关的行业动态、产业趋势和企业学习情况，并形成数据报告。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0" w:type="pct"/>
            <w:vAlign w:val="center"/>
          </w:tcPr>
          <w:p>
            <w:pPr>
              <w:pStyle w:val="20"/>
              <w:framePr w:hSpace="0" w:wrap="auto" w:vAnchor="margin" w:hAnchor="text" w:xAlign="left" w:yAlign="inline"/>
              <w:rPr>
                <w:rFonts w:hint="eastAsia"/>
              </w:rPr>
            </w:pPr>
            <w:r>
              <w:rPr>
                <w:rFonts w:hint="eastAsia"/>
              </w:rPr>
              <w:t>URS</w:t>
            </w:r>
            <w:r>
              <w:t>-2</w:t>
            </w:r>
          </w:p>
        </w:tc>
        <w:tc>
          <w:tcPr>
            <w:tcW w:w="4250" w:type="pct"/>
            <w:vAlign w:val="center"/>
          </w:tcPr>
          <w:p>
            <w:pPr>
              <w:pStyle w:val="20"/>
              <w:framePr w:hSpace="0" w:wrap="auto" w:vAnchor="margin" w:hAnchor="text" w:xAlign="left" w:yAlign="inline"/>
              <w:spacing w:line="312" w:lineRule="auto"/>
              <w:ind w:firstLine="0" w:firstLineChars="0"/>
              <w:rPr>
                <w:sz w:val="21"/>
              </w:rPr>
            </w:pPr>
            <w:r>
              <w:rPr>
                <w:rFonts w:hint="eastAsia"/>
                <w:sz w:val="21"/>
              </w:rPr>
              <w:t>视频课程录制服务</w:t>
            </w:r>
          </w:p>
          <w:p>
            <w:pPr>
              <w:pStyle w:val="25"/>
              <w:framePr w:wrap="auto" w:vAnchor="margin" w:hAnchor="text" w:yAlign="inline"/>
              <w:spacing w:line="312" w:lineRule="auto"/>
              <w:ind w:firstLine="420" w:firstLineChars="200"/>
              <w:rPr>
                <w:sz w:val="21"/>
              </w:rPr>
            </w:pPr>
            <w:r>
              <w:rPr>
                <w:rFonts w:hint="eastAsia"/>
                <w:sz w:val="21"/>
              </w:rPr>
              <w:t>利用专业录制设备，配合授课专家进行多媒体视频</w:t>
            </w:r>
            <w:r>
              <w:rPr>
                <w:rFonts w:hint="eastAsia"/>
                <w:sz w:val="21"/>
                <w:lang w:val="en-US" w:eastAsia="zh-CN"/>
              </w:rPr>
              <w:t>录制</w:t>
            </w:r>
            <w:r>
              <w:rPr>
                <w:rFonts w:hint="eastAsia"/>
                <w:sz w:val="21"/>
              </w:rPr>
              <w:t>相关服务，提供服务人员现场配合、直播支持、视频制作剪辑、视频管理上线等服务。</w:t>
            </w:r>
            <w:r>
              <w:rPr>
                <w:rFonts w:hint="eastAsia"/>
                <w:b/>
                <w:bCs w:val="0"/>
                <w:i w:val="0"/>
                <w:iCs w:val="0"/>
                <w:sz w:val="21"/>
                <w:u w:val="single"/>
              </w:rPr>
              <w:t>供应商须自行</w:t>
            </w:r>
            <w:r>
              <w:rPr>
                <w:rFonts w:hint="eastAsia"/>
                <w:b/>
                <w:bCs w:val="0"/>
                <w:i w:val="0"/>
                <w:iCs w:val="0"/>
                <w:sz w:val="21"/>
                <w:u w:val="single"/>
                <w:lang w:val="en-US" w:eastAsia="zh-CN"/>
              </w:rPr>
              <w:t>配备</w:t>
            </w:r>
            <w:r>
              <w:rPr>
                <w:rFonts w:hint="eastAsia"/>
                <w:b/>
                <w:bCs w:val="0"/>
                <w:i w:val="0"/>
                <w:iCs w:val="0"/>
                <w:sz w:val="21"/>
                <w:u w:val="single"/>
              </w:rPr>
              <w:t>视频制作所需的专业录制设备和人员，以及能面向企业用户提供视频观看服务的互联网的视频发布工具</w:t>
            </w:r>
            <w:r>
              <w:rPr>
                <w:rFonts w:hint="eastAsia"/>
                <w:i w:val="0"/>
                <w:iCs w:val="0"/>
                <w:sz w:val="21"/>
              </w:rPr>
              <w:t>。</w:t>
            </w:r>
          </w:p>
          <w:p>
            <w:pPr>
              <w:pStyle w:val="20"/>
              <w:framePr w:hSpace="0" w:wrap="auto" w:vAnchor="margin" w:hAnchor="text" w:xAlign="left" w:yAlign="inline"/>
              <w:spacing w:line="312" w:lineRule="auto"/>
              <w:ind w:firstLine="422" w:firstLineChars="200"/>
              <w:rPr>
                <w:sz w:val="21"/>
              </w:rPr>
            </w:pPr>
            <w:r>
              <w:rPr>
                <w:rFonts w:hint="eastAsia"/>
                <w:sz w:val="21"/>
              </w:rPr>
              <w:t>1</w:t>
            </w:r>
            <w:r>
              <w:rPr>
                <w:rFonts w:hint="eastAsia"/>
                <w:sz w:val="21"/>
                <w:lang w:eastAsia="zh-CN"/>
              </w:rPr>
              <w:t>、</w:t>
            </w:r>
            <w:r>
              <w:rPr>
                <w:rFonts w:hint="eastAsia"/>
                <w:sz w:val="21"/>
              </w:rPr>
              <w:t>视频录制</w:t>
            </w:r>
          </w:p>
          <w:p>
            <w:pPr>
              <w:pStyle w:val="25"/>
              <w:framePr w:wrap="auto" w:vAnchor="margin" w:hAnchor="text" w:yAlign="inline"/>
              <w:spacing w:line="312" w:lineRule="auto"/>
              <w:ind w:firstLine="420" w:firstLineChars="200"/>
              <w:rPr>
                <w:sz w:val="21"/>
              </w:rPr>
            </w:pPr>
            <w:r>
              <w:rPr>
                <w:rFonts w:hint="eastAsia"/>
                <w:sz w:val="21"/>
              </w:rPr>
              <w:t>派遣专业的拍摄团队，为</w:t>
            </w:r>
            <w:r>
              <w:rPr>
                <w:rFonts w:hint="eastAsia"/>
                <w:sz w:val="21"/>
                <w:lang w:val="en-US" w:eastAsia="zh-CN"/>
              </w:rPr>
              <w:t>授</w:t>
            </w:r>
            <w:r>
              <w:rPr>
                <w:rFonts w:hint="eastAsia"/>
                <w:sz w:val="21"/>
              </w:rPr>
              <w:t>课专家现场录制高质量的课程视频，确保视频画质和音质的清晰度和稳定性。</w:t>
            </w:r>
          </w:p>
          <w:p>
            <w:pPr>
              <w:pStyle w:val="20"/>
              <w:framePr w:hSpace="0" w:wrap="auto" w:vAnchor="margin" w:hAnchor="text" w:xAlign="left" w:yAlign="inline"/>
              <w:spacing w:line="312" w:lineRule="auto"/>
              <w:ind w:firstLine="422" w:firstLineChars="200"/>
              <w:rPr>
                <w:sz w:val="21"/>
              </w:rPr>
            </w:pPr>
            <w:r>
              <w:rPr>
                <w:rFonts w:hint="eastAsia"/>
                <w:sz w:val="21"/>
              </w:rPr>
              <w:t>2</w:t>
            </w:r>
            <w:r>
              <w:rPr>
                <w:rFonts w:hint="eastAsia"/>
                <w:sz w:val="21"/>
                <w:lang w:eastAsia="zh-CN"/>
              </w:rPr>
              <w:t>、</w:t>
            </w:r>
            <w:r>
              <w:rPr>
                <w:rFonts w:hint="eastAsia"/>
                <w:sz w:val="21"/>
              </w:rPr>
              <w:t>服务人员现场配合</w:t>
            </w:r>
          </w:p>
          <w:p>
            <w:pPr>
              <w:pStyle w:val="25"/>
              <w:framePr w:wrap="auto" w:vAnchor="margin" w:hAnchor="text" w:yAlign="inline"/>
              <w:spacing w:line="312" w:lineRule="auto"/>
              <w:ind w:firstLine="420" w:firstLineChars="200"/>
              <w:rPr>
                <w:sz w:val="21"/>
              </w:rPr>
            </w:pPr>
            <w:r>
              <w:rPr>
                <w:rFonts w:hint="eastAsia"/>
                <w:sz w:val="21"/>
              </w:rPr>
              <w:t>为</w:t>
            </w:r>
            <w:r>
              <w:rPr>
                <w:rFonts w:hint="eastAsia"/>
                <w:sz w:val="21"/>
                <w:lang w:val="en-US" w:eastAsia="zh-CN"/>
              </w:rPr>
              <w:t>授课专家配备现场</w:t>
            </w:r>
            <w:r>
              <w:rPr>
                <w:rFonts w:hint="eastAsia"/>
                <w:sz w:val="21"/>
              </w:rPr>
              <w:t>服务人员，确保视频录制和制作过程中的顺利进行。将根据专家要求，提供一对一的服务和支持，以确保服务满意度和视频录制体验。</w:t>
            </w:r>
          </w:p>
          <w:p>
            <w:pPr>
              <w:pStyle w:val="25"/>
              <w:framePr w:wrap="auto" w:vAnchor="margin" w:hAnchor="text" w:yAlign="inline"/>
              <w:spacing w:line="312" w:lineRule="auto"/>
              <w:ind w:firstLine="422" w:firstLineChars="200"/>
              <w:rPr>
                <w:sz w:val="21"/>
              </w:rPr>
            </w:pPr>
            <w:r>
              <w:rPr>
                <w:rStyle w:val="26"/>
                <w:rFonts w:hint="eastAsia"/>
                <w:b/>
                <w:bCs w:val="0"/>
                <w:sz w:val="21"/>
              </w:rPr>
              <w:t>3</w:t>
            </w:r>
            <w:r>
              <w:rPr>
                <w:rStyle w:val="26"/>
                <w:rFonts w:hint="eastAsia"/>
                <w:b/>
                <w:bCs w:val="0"/>
                <w:sz w:val="21"/>
                <w:lang w:eastAsia="zh-CN"/>
              </w:rPr>
              <w:t>、</w:t>
            </w:r>
            <w:r>
              <w:rPr>
                <w:rStyle w:val="26"/>
                <w:rFonts w:hint="eastAsia"/>
                <w:b/>
                <w:bCs w:val="0"/>
                <w:sz w:val="21"/>
              </w:rPr>
              <w:t>视频制作剪辑</w:t>
            </w:r>
          </w:p>
          <w:p>
            <w:pPr>
              <w:pStyle w:val="25"/>
              <w:framePr w:wrap="auto" w:vAnchor="margin" w:hAnchor="text" w:yAlign="inline"/>
              <w:spacing w:line="312" w:lineRule="auto"/>
              <w:ind w:firstLine="420" w:firstLineChars="200"/>
              <w:rPr>
                <w:sz w:val="21"/>
              </w:rPr>
            </w:pPr>
            <w:r>
              <w:rPr>
                <w:rFonts w:hint="eastAsia"/>
                <w:sz w:val="21"/>
              </w:rPr>
              <w:t>为录制的视频进行剪辑和编辑，以确保视频内容的精准和完整性。</w:t>
            </w:r>
          </w:p>
          <w:p>
            <w:pPr>
              <w:pStyle w:val="20"/>
              <w:framePr w:hSpace="0" w:wrap="auto" w:vAnchor="margin" w:hAnchor="text" w:xAlign="left" w:yAlign="inline"/>
              <w:spacing w:line="312" w:lineRule="auto"/>
              <w:ind w:firstLine="422" w:firstLineChars="200"/>
              <w:rPr>
                <w:sz w:val="21"/>
              </w:rPr>
            </w:pPr>
            <w:r>
              <w:rPr>
                <w:rFonts w:hint="eastAsia"/>
                <w:sz w:val="21"/>
              </w:rPr>
              <w:t>4</w:t>
            </w:r>
            <w:r>
              <w:rPr>
                <w:rFonts w:hint="eastAsia"/>
                <w:sz w:val="21"/>
                <w:lang w:eastAsia="zh-CN"/>
              </w:rPr>
              <w:t>、</w:t>
            </w:r>
            <w:r>
              <w:rPr>
                <w:rFonts w:hint="eastAsia"/>
                <w:sz w:val="21"/>
              </w:rPr>
              <w:t>视频上架</w:t>
            </w:r>
          </w:p>
          <w:p>
            <w:pPr>
              <w:pStyle w:val="25"/>
              <w:framePr w:wrap="auto" w:vAnchor="margin" w:hAnchor="text" w:yAlign="inline"/>
              <w:spacing w:line="312" w:lineRule="auto"/>
              <w:ind w:firstLine="420" w:firstLineChars="200"/>
              <w:rPr>
                <w:rFonts w:hint="eastAsia"/>
                <w:sz w:val="21"/>
              </w:rPr>
            </w:pPr>
            <w:r>
              <w:rPr>
                <w:rFonts w:hint="eastAsia"/>
                <w:sz w:val="21"/>
              </w:rPr>
              <w:t>提供完整的视频上架</w:t>
            </w:r>
            <w:r>
              <w:rPr>
                <w:rFonts w:hint="eastAsia"/>
                <w:sz w:val="21"/>
                <w:lang w:eastAsia="zh-CN"/>
              </w:rPr>
              <w:t>、</w:t>
            </w:r>
            <w:r>
              <w:rPr>
                <w:rFonts w:hint="eastAsia"/>
                <w:sz w:val="21"/>
              </w:rPr>
              <w:t>题库上架</w:t>
            </w:r>
            <w:r>
              <w:rPr>
                <w:rFonts w:hint="eastAsia"/>
                <w:sz w:val="21"/>
                <w:lang w:val="en-US" w:eastAsia="zh-CN"/>
              </w:rPr>
              <w:t>和管理</w:t>
            </w:r>
            <w:r>
              <w:rPr>
                <w:rFonts w:hint="eastAsia"/>
                <w:sz w:val="21"/>
              </w:rPr>
              <w:t>服务</w:t>
            </w:r>
            <w:r>
              <w:rPr>
                <w:rFonts w:hint="eastAsia"/>
                <w:sz w:val="21"/>
                <w:lang w:eastAsia="zh-CN"/>
              </w:rPr>
              <w:t>，</w:t>
            </w:r>
            <w:r>
              <w:rPr>
                <w:rFonts w:hint="eastAsia"/>
                <w:sz w:val="21"/>
              </w:rPr>
              <w:t>确保视频的版权和安全，并及时更新视频内容。</w:t>
            </w:r>
          </w:p>
          <w:p>
            <w:pPr>
              <w:pStyle w:val="25"/>
              <w:framePr w:wrap="auto" w:vAnchor="margin" w:hAnchor="text" w:yAlign="inline"/>
              <w:spacing w:line="312" w:lineRule="auto"/>
              <w:ind w:firstLine="420" w:firstLineChars="200"/>
              <w:rPr>
                <w:rFonts w:hint="eastAsia"/>
                <w:sz w:val="21"/>
              </w:rPr>
            </w:pPr>
            <w:r>
              <w:rPr>
                <w:rFonts w:hint="eastAsia"/>
                <w:sz w:val="21"/>
              </w:rPr>
              <w:t>注：视频作品的全部知识产权归</w:t>
            </w:r>
            <w:r>
              <w:rPr>
                <w:rFonts w:hint="eastAsia"/>
                <w:sz w:val="21"/>
                <w:lang w:val="en-US" w:eastAsia="zh-CN"/>
              </w:rPr>
              <w:t>市生药中心</w:t>
            </w:r>
            <w:r>
              <w:rPr>
                <w:rFonts w:hint="eastAsia"/>
                <w:sz w:val="21"/>
              </w:rPr>
              <w:t>所有。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50" w:type="pct"/>
            <w:vAlign w:val="center"/>
          </w:tcPr>
          <w:p>
            <w:pPr>
              <w:pStyle w:val="20"/>
              <w:framePr w:hSpace="0" w:wrap="auto" w:vAnchor="margin" w:hAnchor="text" w:xAlign="left" w:yAlign="inline"/>
            </w:pPr>
            <w:r>
              <w:rPr>
                <w:rFonts w:hint="eastAsia"/>
              </w:rPr>
              <w:t>URS</w:t>
            </w:r>
            <w:r>
              <w:t>-3</w:t>
            </w:r>
          </w:p>
        </w:tc>
        <w:tc>
          <w:tcPr>
            <w:tcW w:w="4250" w:type="pct"/>
            <w:vAlign w:val="center"/>
          </w:tcPr>
          <w:p>
            <w:pPr>
              <w:pStyle w:val="20"/>
              <w:framePr w:hSpace="0" w:wrap="auto" w:vAnchor="margin" w:hAnchor="text" w:xAlign="left" w:yAlign="inline"/>
              <w:spacing w:line="312" w:lineRule="auto"/>
              <w:ind w:firstLine="0" w:firstLineChars="0"/>
              <w:rPr>
                <w:sz w:val="21"/>
              </w:rPr>
            </w:pPr>
            <w:r>
              <w:rPr>
                <w:rFonts w:hint="eastAsia"/>
                <w:sz w:val="21"/>
              </w:rPr>
              <w:t>企业用户培训服务</w:t>
            </w:r>
          </w:p>
          <w:p>
            <w:pPr>
              <w:pStyle w:val="25"/>
              <w:framePr w:wrap="auto" w:vAnchor="margin" w:hAnchor="text" w:yAlign="inline"/>
              <w:spacing w:line="312" w:lineRule="auto"/>
              <w:ind w:firstLine="420" w:firstLineChars="200"/>
              <w:rPr>
                <w:sz w:val="21"/>
              </w:rPr>
            </w:pPr>
            <w:r>
              <w:rPr>
                <w:rFonts w:hint="eastAsia"/>
                <w:sz w:val="21"/>
              </w:rPr>
              <w:t>针对</w:t>
            </w:r>
            <w:r>
              <w:rPr>
                <w:rFonts w:hint="eastAsia"/>
                <w:sz w:val="21"/>
                <w:lang w:val="en-US" w:eastAsia="zh-CN"/>
              </w:rPr>
              <w:t>从事人类遗传资源管理相关活动的单位</w:t>
            </w:r>
            <w:r>
              <w:rPr>
                <w:rFonts w:hint="eastAsia"/>
                <w:sz w:val="21"/>
              </w:rPr>
              <w:t>提供培训</w:t>
            </w:r>
            <w:r>
              <w:rPr>
                <w:sz w:val="21"/>
              </w:rPr>
              <w:t>服务</w:t>
            </w:r>
            <w:r>
              <w:rPr>
                <w:rFonts w:hint="eastAsia"/>
                <w:sz w:val="21"/>
                <w:lang w:eastAsia="zh-CN"/>
              </w:rPr>
              <w:t>。</w:t>
            </w:r>
            <w:r>
              <w:rPr>
                <w:rFonts w:hint="eastAsia"/>
                <w:sz w:val="21"/>
              </w:rPr>
              <w:t>要求供应商向上述角色介绍相关服务工具的使用方法，确保用户能正确使用供应商提供的各类软件工具。</w:t>
            </w:r>
          </w:p>
          <w:p>
            <w:pPr>
              <w:pStyle w:val="25"/>
              <w:framePr w:wrap="auto" w:vAnchor="margin" w:hAnchor="text" w:yAlign="inline"/>
              <w:spacing w:line="312" w:lineRule="auto"/>
              <w:ind w:firstLine="420" w:firstLineChars="200"/>
              <w:rPr>
                <w:rFonts w:hint="eastAsia"/>
                <w:sz w:val="21"/>
              </w:rPr>
            </w:pPr>
            <w:r>
              <w:rPr>
                <w:rFonts w:hint="eastAsia"/>
                <w:sz w:val="21"/>
              </w:rPr>
              <w:t>要求供应商制定合理的培训计划</w:t>
            </w:r>
            <w:r>
              <w:rPr>
                <w:rFonts w:hint="eastAsia"/>
                <w:sz w:val="21"/>
                <w:lang w:eastAsia="zh-CN"/>
              </w:rPr>
              <w:t>，</w:t>
            </w:r>
            <w:r>
              <w:rPr>
                <w:rFonts w:hint="eastAsia"/>
                <w:sz w:val="21"/>
              </w:rPr>
              <w:t>明确培训对象</w:t>
            </w:r>
            <w:r>
              <w:rPr>
                <w:rFonts w:hint="eastAsia"/>
                <w:sz w:val="21"/>
                <w:lang w:eastAsia="zh-CN"/>
              </w:rPr>
              <w:t>，</w:t>
            </w:r>
            <w:r>
              <w:rPr>
                <w:rFonts w:hint="eastAsia"/>
                <w:sz w:val="21"/>
              </w:rPr>
              <w:t>准备相关培训资料，</w:t>
            </w:r>
            <w:r>
              <w:rPr>
                <w:rFonts w:hint="eastAsia"/>
                <w:sz w:val="21"/>
                <w:lang w:val="en-US" w:eastAsia="zh-CN"/>
              </w:rPr>
              <w:t>并提供线上会议的技术支持</w:t>
            </w:r>
            <w:r>
              <w:rPr>
                <w:rFonts w:hint="eastAsia"/>
                <w:sz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50" w:type="pct"/>
            <w:vAlign w:val="center"/>
          </w:tcPr>
          <w:p>
            <w:pPr>
              <w:pStyle w:val="20"/>
              <w:framePr w:hSpace="0" w:wrap="auto" w:vAnchor="margin" w:hAnchor="text" w:xAlign="left" w:yAlign="inline"/>
            </w:pPr>
            <w:r>
              <w:rPr>
                <w:rFonts w:hint="eastAsia"/>
              </w:rPr>
              <w:t>URS</w:t>
            </w:r>
            <w:r>
              <w:t>-4</w:t>
            </w:r>
          </w:p>
        </w:tc>
        <w:tc>
          <w:tcPr>
            <w:tcW w:w="4250" w:type="pct"/>
            <w:vAlign w:val="center"/>
          </w:tcPr>
          <w:p>
            <w:pPr>
              <w:pStyle w:val="20"/>
              <w:framePr w:hSpace="0" w:wrap="auto" w:vAnchor="margin" w:hAnchor="text" w:xAlign="left" w:yAlign="inline"/>
              <w:spacing w:line="312" w:lineRule="auto"/>
              <w:ind w:firstLine="0" w:firstLineChars="0"/>
              <w:rPr>
                <w:sz w:val="21"/>
              </w:rPr>
            </w:pPr>
            <w:r>
              <w:rPr>
                <w:rFonts w:hint="eastAsia"/>
                <w:sz w:val="21"/>
              </w:rPr>
              <w:t>生物医药行业热力图制作与数据分析服务</w:t>
            </w:r>
          </w:p>
          <w:p>
            <w:pPr>
              <w:pStyle w:val="25"/>
              <w:framePr w:wrap="auto" w:vAnchor="margin" w:hAnchor="text" w:yAlign="inline"/>
              <w:spacing w:line="312" w:lineRule="auto"/>
              <w:ind w:firstLine="420" w:firstLineChars="200"/>
              <w:rPr>
                <w:rFonts w:hint="eastAsia"/>
                <w:sz w:val="21"/>
              </w:rPr>
            </w:pPr>
            <w:r>
              <w:rPr>
                <w:rFonts w:hint="eastAsia" w:hAnsi="Times New Roman"/>
                <w:sz w:val="21"/>
              </w:rPr>
              <w:t>收集并整理行业相关数据和资料（如上海市生物医药相关企业、院校专业、研究机构、人才专家等相关数据），制作上海市生物医药行业热力图，精准展示上海市各相关行业的分布及点位，辅助用户进行生物医药产业态势研判和行业研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50" w:type="pct"/>
            <w:vAlign w:val="center"/>
          </w:tcPr>
          <w:p>
            <w:pPr>
              <w:pStyle w:val="20"/>
              <w:framePr w:hSpace="0" w:wrap="auto" w:vAnchor="margin" w:hAnchor="text" w:xAlign="left" w:yAlign="inline"/>
            </w:pPr>
            <w:r>
              <w:rPr>
                <w:rFonts w:hint="eastAsia"/>
              </w:rPr>
              <w:t>URS</w:t>
            </w:r>
            <w:r>
              <w:t>-5</w:t>
            </w:r>
          </w:p>
        </w:tc>
        <w:tc>
          <w:tcPr>
            <w:tcW w:w="4250" w:type="pct"/>
            <w:vAlign w:val="center"/>
          </w:tcPr>
          <w:p>
            <w:pPr>
              <w:pStyle w:val="20"/>
              <w:framePr w:hSpace="0" w:wrap="auto" w:vAnchor="margin" w:hAnchor="text" w:xAlign="left" w:yAlign="inline"/>
              <w:spacing w:line="312" w:lineRule="auto"/>
              <w:ind w:firstLine="0" w:firstLineChars="0"/>
              <w:rPr>
                <w:sz w:val="21"/>
              </w:rPr>
            </w:pPr>
            <w:r>
              <w:rPr>
                <w:rFonts w:hint="eastAsia"/>
                <w:sz w:val="21"/>
              </w:rPr>
              <w:t>第三方服务采购</w:t>
            </w:r>
          </w:p>
          <w:p>
            <w:pPr>
              <w:pStyle w:val="25"/>
              <w:framePr w:wrap="auto" w:vAnchor="margin" w:hAnchor="text" w:yAlign="inline"/>
              <w:spacing w:line="312" w:lineRule="auto"/>
              <w:ind w:firstLine="420" w:firstLineChars="200"/>
              <w:rPr>
                <w:rFonts w:hAnsi="Times New Roman"/>
                <w:sz w:val="21"/>
              </w:rPr>
            </w:pPr>
            <w:r>
              <w:rPr>
                <w:rFonts w:hint="eastAsia" w:hAnsi="Times New Roman"/>
                <w:sz w:val="21"/>
              </w:rPr>
              <w:t>根据</w:t>
            </w:r>
            <w:r>
              <w:rPr>
                <w:rFonts w:hint="eastAsia" w:hAnsi="Times New Roman"/>
                <w:sz w:val="21"/>
                <w:lang w:val="en-US" w:eastAsia="zh-CN"/>
              </w:rPr>
              <w:t>人类遗传资源管理相关</w:t>
            </w:r>
            <w:r>
              <w:rPr>
                <w:rFonts w:hint="eastAsia" w:hAnsi="Times New Roman"/>
                <w:sz w:val="21"/>
              </w:rPr>
              <w:t>业务的实际服务</w:t>
            </w:r>
            <w:r>
              <w:rPr>
                <w:rFonts w:hint="eastAsia" w:hAnsi="Times New Roman"/>
                <w:sz w:val="21"/>
                <w:lang w:val="en-US" w:eastAsia="zh-CN"/>
              </w:rPr>
              <w:t>需求</w:t>
            </w:r>
            <w:r>
              <w:rPr>
                <w:rFonts w:hint="eastAsia" w:hAnsi="Times New Roman"/>
                <w:sz w:val="21"/>
              </w:rPr>
              <w:t>，进行第三方相关的租赁采购等服务事项，具体包括：</w:t>
            </w:r>
          </w:p>
          <w:p>
            <w:pPr>
              <w:pStyle w:val="20"/>
              <w:framePr w:hSpace="0" w:wrap="auto" w:vAnchor="margin" w:hAnchor="text" w:xAlign="left" w:yAlign="inline"/>
              <w:spacing w:line="312" w:lineRule="auto"/>
              <w:ind w:firstLine="422" w:firstLineChars="200"/>
              <w:rPr>
                <w:sz w:val="21"/>
              </w:rPr>
            </w:pPr>
            <w:r>
              <w:rPr>
                <w:sz w:val="21"/>
              </w:rPr>
              <w:t>1</w:t>
            </w:r>
            <w:r>
              <w:rPr>
                <w:rFonts w:hint="eastAsia"/>
                <w:sz w:val="21"/>
                <w:lang w:eastAsia="zh-CN"/>
              </w:rPr>
              <w:t>、</w:t>
            </w:r>
            <w:r>
              <w:rPr>
                <w:rFonts w:hint="eastAsia"/>
                <w:sz w:val="21"/>
              </w:rPr>
              <w:t>呼叫中心租赁</w:t>
            </w:r>
          </w:p>
          <w:p>
            <w:pPr>
              <w:pStyle w:val="25"/>
              <w:framePr w:wrap="auto" w:vAnchor="margin" w:hAnchor="text" w:yAlign="inline"/>
              <w:spacing w:line="312" w:lineRule="auto"/>
              <w:ind w:firstLine="420" w:firstLineChars="200"/>
              <w:rPr>
                <w:rFonts w:hint="eastAsia" w:hAnsi="Times New Roman"/>
                <w:sz w:val="21"/>
              </w:rPr>
            </w:pPr>
            <w:r>
              <w:rPr>
                <w:rFonts w:hint="eastAsia" w:hAnsi="Times New Roman"/>
                <w:sz w:val="21"/>
              </w:rPr>
              <w:t>提供接听、外呼、等待、转接</w:t>
            </w:r>
            <w:r>
              <w:rPr>
                <w:rFonts w:hint="eastAsia" w:hAnsi="Times New Roman"/>
                <w:sz w:val="21"/>
                <w:lang w:eastAsia="zh-CN"/>
              </w:rPr>
              <w:t>和</w:t>
            </w:r>
            <w:r>
              <w:rPr>
                <w:rFonts w:hint="eastAsia" w:hAnsi="Times New Roman"/>
                <w:sz w:val="21"/>
              </w:rPr>
              <w:t>录音等基本功能</w:t>
            </w:r>
            <w:r>
              <w:rPr>
                <w:rFonts w:hint="eastAsia" w:hAnsi="Times New Roman"/>
                <w:sz w:val="21"/>
                <w:lang w:eastAsia="zh-CN"/>
              </w:rPr>
              <w:t>，</w:t>
            </w:r>
            <w:r>
              <w:rPr>
                <w:rFonts w:hint="eastAsia" w:hAnsi="Times New Roman"/>
                <w:sz w:val="21"/>
              </w:rPr>
              <w:t>用于支持</w:t>
            </w:r>
            <w:r>
              <w:rPr>
                <w:rFonts w:hint="eastAsia" w:hAnsi="Times New Roman"/>
                <w:sz w:val="21"/>
                <w:lang w:val="en-US" w:eastAsia="zh-CN"/>
              </w:rPr>
              <w:t>上海服务站</w:t>
            </w:r>
            <w:r>
              <w:rPr>
                <w:rFonts w:hint="eastAsia" w:hAnsi="Times New Roman"/>
                <w:sz w:val="21"/>
              </w:rPr>
              <w:t>的</w:t>
            </w:r>
            <w:r>
              <w:rPr>
                <w:rFonts w:hint="eastAsia" w:hAnsi="Times New Roman"/>
                <w:sz w:val="21"/>
                <w:lang w:val="en-US" w:eastAsia="zh-CN"/>
              </w:rPr>
              <w:t>业务咨询</w:t>
            </w:r>
            <w:r>
              <w:rPr>
                <w:rFonts w:hint="eastAsia" w:hAnsi="Times New Roman"/>
                <w:sz w:val="21"/>
                <w:lang w:eastAsia="zh-CN"/>
              </w:rPr>
              <w:t>。</w:t>
            </w:r>
            <w:r>
              <w:rPr>
                <w:rFonts w:hint="eastAsia" w:hAnsi="Times New Roman"/>
                <w:sz w:val="21"/>
              </w:rPr>
              <w:t>至少提供2个工作席位</w:t>
            </w:r>
            <w:r>
              <w:rPr>
                <w:rFonts w:hint="eastAsia" w:hAnsi="Times New Roman"/>
                <w:sz w:val="21"/>
                <w:lang w:eastAsia="zh-CN"/>
              </w:rPr>
              <w:t>。</w:t>
            </w:r>
          </w:p>
          <w:p>
            <w:pPr>
              <w:pStyle w:val="20"/>
              <w:framePr w:hSpace="0" w:wrap="auto" w:vAnchor="margin" w:hAnchor="text" w:xAlign="left" w:yAlign="inline"/>
              <w:spacing w:line="312" w:lineRule="auto"/>
              <w:ind w:firstLine="422" w:firstLineChars="200"/>
              <w:rPr>
                <w:sz w:val="21"/>
              </w:rPr>
            </w:pPr>
            <w:r>
              <w:rPr>
                <w:sz w:val="21"/>
              </w:rPr>
              <w:t>2</w:t>
            </w:r>
            <w:r>
              <w:rPr>
                <w:rFonts w:hint="eastAsia"/>
                <w:sz w:val="21"/>
                <w:lang w:eastAsia="zh-CN"/>
              </w:rPr>
              <w:t>、</w:t>
            </w:r>
            <w:r>
              <w:rPr>
                <w:rFonts w:hint="eastAsia"/>
                <w:sz w:val="21"/>
              </w:rPr>
              <w:t>400号码租赁</w:t>
            </w:r>
          </w:p>
          <w:p>
            <w:pPr>
              <w:pStyle w:val="25"/>
              <w:framePr w:wrap="auto" w:vAnchor="margin" w:hAnchor="text" w:yAlign="inline"/>
              <w:spacing w:line="312" w:lineRule="auto"/>
              <w:ind w:firstLine="420" w:firstLineChars="200"/>
              <w:rPr>
                <w:rFonts w:hint="eastAsia" w:hAnsi="Times New Roman"/>
                <w:sz w:val="21"/>
              </w:rPr>
            </w:pPr>
            <w:r>
              <w:rPr>
                <w:rFonts w:hint="eastAsia" w:hAnsi="Times New Roman"/>
                <w:sz w:val="21"/>
              </w:rPr>
              <w:t>提供专用4</w:t>
            </w:r>
            <w:r>
              <w:rPr>
                <w:rFonts w:hAnsi="Times New Roman"/>
                <w:sz w:val="21"/>
              </w:rPr>
              <w:t>00</w:t>
            </w:r>
            <w:r>
              <w:rPr>
                <w:rFonts w:hint="eastAsia" w:hAnsi="Times New Roman"/>
                <w:sz w:val="21"/>
              </w:rPr>
              <w:t>号码，配合呼叫中心使用</w:t>
            </w:r>
            <w:r>
              <w:rPr>
                <w:rFonts w:hint="eastAsia" w:hAnsi="Times New Roman"/>
                <w:sz w:val="21"/>
                <w:lang w:eastAsia="zh-CN"/>
              </w:rPr>
              <w:t>，</w:t>
            </w:r>
            <w:r>
              <w:rPr>
                <w:rFonts w:hint="eastAsia" w:hAnsi="Times New Roman"/>
                <w:sz w:val="21"/>
              </w:rPr>
              <w:t>用于支持</w:t>
            </w:r>
            <w:r>
              <w:rPr>
                <w:rFonts w:hint="eastAsia" w:hAnsi="Times New Roman"/>
                <w:sz w:val="21"/>
                <w:lang w:val="en-US" w:eastAsia="zh-CN"/>
              </w:rPr>
              <w:t>上海服务站业务咨询</w:t>
            </w:r>
            <w:r>
              <w:rPr>
                <w:rFonts w:hint="eastAsia" w:hAnsi="Times New Roman"/>
                <w:sz w:val="21"/>
              </w:rPr>
              <w:t>。</w:t>
            </w:r>
          </w:p>
          <w:p>
            <w:pPr>
              <w:pStyle w:val="20"/>
              <w:framePr w:hSpace="0" w:wrap="auto" w:vAnchor="margin" w:hAnchor="text" w:xAlign="left" w:yAlign="inline"/>
              <w:spacing w:line="312" w:lineRule="auto"/>
              <w:ind w:firstLine="422" w:firstLineChars="200"/>
              <w:rPr>
                <w:sz w:val="21"/>
              </w:rPr>
            </w:pPr>
            <w:r>
              <w:rPr>
                <w:rFonts w:hint="eastAsia"/>
                <w:sz w:val="21"/>
              </w:rPr>
              <w:t>3</w:t>
            </w:r>
            <w:r>
              <w:rPr>
                <w:rFonts w:hint="eastAsia"/>
                <w:sz w:val="21"/>
                <w:lang w:eastAsia="zh-CN"/>
              </w:rPr>
              <w:t>、</w:t>
            </w:r>
            <w:r>
              <w:rPr>
                <w:rFonts w:hint="eastAsia"/>
                <w:sz w:val="21"/>
              </w:rPr>
              <w:t>通知短信充值</w:t>
            </w:r>
          </w:p>
          <w:p>
            <w:pPr>
              <w:pStyle w:val="25"/>
              <w:framePr w:wrap="auto" w:vAnchor="margin" w:hAnchor="text" w:yAlign="inline"/>
              <w:spacing w:line="312" w:lineRule="auto"/>
              <w:ind w:firstLine="420" w:firstLineChars="200"/>
              <w:rPr>
                <w:rFonts w:hint="eastAsia"/>
                <w:sz w:val="21"/>
              </w:rPr>
            </w:pPr>
            <w:r>
              <w:rPr>
                <w:rFonts w:hint="eastAsia" w:hAnsi="Times New Roman"/>
                <w:sz w:val="21"/>
              </w:rPr>
              <w:t>用于支持</w:t>
            </w:r>
            <w:r>
              <w:rPr>
                <w:rFonts w:hint="eastAsia" w:hAnsi="Times New Roman"/>
                <w:sz w:val="21"/>
                <w:lang w:val="en-US" w:eastAsia="zh-CN"/>
              </w:rPr>
              <w:t>上海服务站</w:t>
            </w:r>
            <w:r>
              <w:rPr>
                <w:rFonts w:hint="eastAsia" w:hAnsi="Times New Roman"/>
                <w:sz w:val="21"/>
              </w:rPr>
              <w:t>的消息推送服务，实现对用户的精准消息推送和通知触达。除短信资费外，供应商还需自备用于发送短信的软件工具。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50" w:type="pct"/>
            <w:vAlign w:val="center"/>
          </w:tcPr>
          <w:p>
            <w:pPr>
              <w:pStyle w:val="20"/>
              <w:framePr w:hSpace="0" w:wrap="auto" w:vAnchor="margin" w:hAnchor="text" w:xAlign="left" w:yAlign="inline"/>
              <w:rPr>
                <w:rFonts w:hint="eastAsia"/>
              </w:rPr>
            </w:pPr>
            <w:r>
              <w:rPr>
                <w:rFonts w:hint="eastAsia"/>
              </w:rPr>
              <w:t>URS</w:t>
            </w:r>
            <w:r>
              <w:t>-6</w:t>
            </w:r>
          </w:p>
        </w:tc>
        <w:tc>
          <w:tcPr>
            <w:tcW w:w="4250" w:type="pct"/>
            <w:vAlign w:val="center"/>
          </w:tcPr>
          <w:p>
            <w:pPr>
              <w:pStyle w:val="20"/>
              <w:framePr w:hSpace="0" w:wrap="auto" w:vAnchor="margin" w:hAnchor="text" w:xAlign="left" w:yAlign="inline"/>
              <w:spacing w:line="312" w:lineRule="auto"/>
              <w:ind w:firstLine="0" w:firstLineChars="0"/>
              <w:rPr>
                <w:sz w:val="21"/>
              </w:rPr>
            </w:pPr>
            <w:r>
              <w:rPr>
                <w:rFonts w:hint="eastAsia"/>
                <w:sz w:val="21"/>
                <w:lang w:val="en-US" w:eastAsia="zh-CN"/>
              </w:rPr>
              <w:t>材料梳理</w:t>
            </w:r>
            <w:r>
              <w:rPr>
                <w:rFonts w:hint="eastAsia"/>
                <w:sz w:val="21"/>
              </w:rPr>
              <w:t>服务</w:t>
            </w:r>
          </w:p>
          <w:p>
            <w:pPr>
              <w:pStyle w:val="25"/>
              <w:framePr w:wrap="auto" w:vAnchor="margin" w:hAnchor="text" w:yAlign="inline"/>
              <w:spacing w:line="312" w:lineRule="auto"/>
              <w:ind w:firstLine="420" w:firstLineChars="200"/>
              <w:rPr>
                <w:rFonts w:hint="eastAsia" w:hAnsi="Times New Roman"/>
                <w:sz w:val="21"/>
              </w:rPr>
            </w:pPr>
            <w:r>
              <w:rPr>
                <w:rFonts w:hint="eastAsia" w:hAnsi="Times New Roman"/>
                <w:sz w:val="21"/>
              </w:rPr>
              <w:t>根据提供的现存纸质材料进行扫描、编目、入库等工作，形成</w:t>
            </w:r>
            <w:r>
              <w:rPr>
                <w:rFonts w:hint="eastAsia" w:hAnsi="Times New Roman"/>
                <w:sz w:val="21"/>
                <w:lang w:val="en-US" w:eastAsia="zh-CN"/>
              </w:rPr>
              <w:t>材料</w:t>
            </w:r>
            <w:r>
              <w:rPr>
                <w:rFonts w:hint="eastAsia" w:hAnsi="Times New Roman"/>
                <w:sz w:val="21"/>
              </w:rPr>
              <w:t>库</w:t>
            </w:r>
            <w:r>
              <w:rPr>
                <w:rFonts w:hint="eastAsia" w:hAnsi="Times New Roman"/>
                <w:sz w:val="21"/>
                <w:lang w:eastAsia="zh-CN"/>
              </w:rPr>
              <w:t>。</w:t>
            </w:r>
            <w:r>
              <w:rPr>
                <w:rFonts w:hint="eastAsia" w:hAnsi="Times New Roman"/>
                <w:sz w:val="21"/>
                <w:lang w:val="en-US" w:eastAsia="zh-CN"/>
              </w:rPr>
              <w:t>库</w:t>
            </w:r>
            <w:r>
              <w:rPr>
                <w:rFonts w:hint="eastAsia" w:hAnsi="Times New Roman"/>
                <w:sz w:val="21"/>
              </w:rPr>
              <w:t>中可登记、查询的结构化数据。</w:t>
            </w:r>
          </w:p>
          <w:p>
            <w:pPr>
              <w:pStyle w:val="25"/>
              <w:framePr w:wrap="auto" w:vAnchor="margin" w:hAnchor="text" w:yAlign="inline"/>
              <w:spacing w:line="312" w:lineRule="auto"/>
              <w:ind w:firstLine="420" w:firstLineChars="200"/>
              <w:rPr>
                <w:rFonts w:hint="default" w:hAnsi="Times New Roman"/>
                <w:sz w:val="21"/>
              </w:rPr>
            </w:pPr>
            <w:r>
              <w:rPr>
                <w:rFonts w:hint="eastAsia" w:hAnsi="Times New Roman"/>
                <w:sz w:val="21"/>
                <w:lang w:val="en-US" w:eastAsia="zh-CN"/>
              </w:rPr>
              <w:t>以上服务须在市生药中心完成，并注意数据的保密性及安全性。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750" w:type="pct"/>
            <w:vAlign w:val="center"/>
          </w:tcPr>
          <w:p>
            <w:pPr>
              <w:pStyle w:val="20"/>
              <w:framePr w:hSpace="0" w:wrap="auto" w:vAnchor="margin" w:hAnchor="text" w:xAlign="left" w:yAlign="inline"/>
              <w:rPr>
                <w:rFonts w:hint="eastAsia"/>
              </w:rPr>
            </w:pPr>
            <w:r>
              <w:rPr>
                <w:rFonts w:hint="eastAsia"/>
              </w:rPr>
              <w:t>URS</w:t>
            </w:r>
            <w:r>
              <w:t>-7</w:t>
            </w:r>
          </w:p>
        </w:tc>
        <w:tc>
          <w:tcPr>
            <w:tcW w:w="4250" w:type="pct"/>
            <w:vAlign w:val="center"/>
          </w:tcPr>
          <w:p>
            <w:pPr>
              <w:pStyle w:val="20"/>
              <w:framePr w:hSpace="0" w:wrap="auto" w:vAnchor="margin" w:hAnchor="text" w:xAlign="left" w:yAlign="inline"/>
              <w:spacing w:line="312" w:lineRule="auto"/>
              <w:ind w:firstLine="0" w:firstLineChars="0"/>
              <w:rPr>
                <w:sz w:val="21"/>
              </w:rPr>
            </w:pPr>
            <w:r>
              <w:rPr>
                <w:rFonts w:hint="eastAsia"/>
                <w:sz w:val="21"/>
              </w:rPr>
              <w:t>数据保密</w:t>
            </w:r>
          </w:p>
          <w:p>
            <w:pPr>
              <w:pStyle w:val="25"/>
              <w:framePr w:wrap="auto" w:vAnchor="margin" w:hAnchor="text" w:yAlign="inline"/>
              <w:spacing w:line="312" w:lineRule="auto"/>
              <w:ind w:firstLine="420" w:firstLineChars="200"/>
              <w:rPr>
                <w:rFonts w:hint="eastAsia"/>
                <w:sz w:val="21"/>
              </w:rPr>
            </w:pPr>
            <w:r>
              <w:rPr>
                <w:rFonts w:hint="eastAsia"/>
                <w:sz w:val="21"/>
              </w:rPr>
              <w:t>供应商应保证服务过程中涉及的各类数据不被非法访问、窃取、误用、散发等，确保敏感数据处于可控制的范围之内，仅有经过严格身份认证的用户</w:t>
            </w:r>
            <w:r>
              <w:rPr>
                <w:rFonts w:hint="eastAsia"/>
                <w:sz w:val="21"/>
                <w:lang w:eastAsia="zh-CN"/>
              </w:rPr>
              <w:t>，</w:t>
            </w:r>
            <w:r>
              <w:rPr>
                <w:rFonts w:hint="eastAsia"/>
                <w:sz w:val="21"/>
              </w:rPr>
              <w:t>系统才允许其获得相关数据。</w:t>
            </w:r>
          </w:p>
        </w:tc>
      </w:tr>
      <w:bookmarkEnd w:id="12"/>
    </w:tbl>
    <w:p>
      <w:pPr>
        <w:ind w:left="400" w:firstLine="480"/>
        <w:rPr>
          <w:rFonts w:cs="Arial"/>
          <w:szCs w:val="22"/>
        </w:rPr>
      </w:pPr>
    </w:p>
    <w:sectPr>
      <w:pgSz w:w="11906" w:h="16838"/>
      <w:pgMar w:top="1440" w:right="1803" w:bottom="1440" w:left="1803"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ngsana New">
    <w:altName w:val="Leelawadee UI"/>
    <w:panose1 w:val="02020603050405020304"/>
    <w:charset w:val="00"/>
    <w:family w:val="auto"/>
    <w:pitch w:val="default"/>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5367" w:type="pct"/>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768"/>
      <w:gridCol w:w="6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97" w:type="pct"/>
          <w:vMerge w:val="restart"/>
          <w:shd w:val="clear" w:color="auto" w:fill="auto"/>
          <w:vAlign w:val="center"/>
        </w:tcPr>
        <w:p>
          <w:pPr>
            <w:pStyle w:val="6"/>
          </w:pPr>
          <w:r>
            <w:rPr>
              <w:rFonts w:hint="eastAsia"/>
            </w:rPr>
            <w:drawing>
              <wp:inline distT="0" distB="0" distL="114300" distR="114300">
                <wp:extent cx="386715" cy="505460"/>
                <wp:effectExtent l="0" t="0" r="1270" b="6350"/>
                <wp:docPr id="2" name="图片 2" descr="2021-05-27 上海市生物医药科技发展中心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1-05-27 上海市生物医药科技发展中心logo_00"/>
                        <pic:cNvPicPr>
                          <a:picLocks noChangeAspect="1"/>
                        </pic:cNvPicPr>
                      </pic:nvPicPr>
                      <pic:blipFill>
                        <a:blip r:embed="rId1"/>
                        <a:srcRect r="85080" b="1497"/>
                        <a:stretch>
                          <a:fillRect/>
                        </a:stretch>
                      </pic:blipFill>
                      <pic:spPr>
                        <a:xfrm>
                          <a:off x="0" y="0"/>
                          <a:ext cx="386715" cy="505460"/>
                        </a:xfrm>
                        <a:prstGeom prst="rect">
                          <a:avLst/>
                        </a:prstGeom>
                      </pic:spPr>
                    </pic:pic>
                  </a:graphicData>
                </a:graphic>
              </wp:inline>
            </w:drawing>
          </w:r>
        </w:p>
      </w:tc>
      <w:tc>
        <w:tcPr>
          <w:tcW w:w="4303" w:type="pct"/>
          <w:gridSpan w:val="2"/>
          <w:shd w:val="clear" w:color="auto" w:fill="auto"/>
          <w:vAlign w:val="center"/>
        </w:tcPr>
        <w:p>
          <w:pPr>
            <w:pStyle w:val="6"/>
          </w:pPr>
          <w:r>
            <w:t>User Requirement Specifications用户需求说明书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97" w:type="pct"/>
          <w:vMerge w:val="continue"/>
          <w:shd w:val="clear" w:color="auto" w:fill="auto"/>
          <w:vAlign w:val="center"/>
        </w:tcPr>
        <w:p>
          <w:pPr>
            <w:pStyle w:val="6"/>
          </w:pPr>
        </w:p>
      </w:tc>
      <w:tc>
        <w:tcPr>
          <w:tcW w:w="967" w:type="pct"/>
          <w:shd w:val="clear" w:color="auto" w:fill="auto"/>
          <w:vAlign w:val="center"/>
        </w:tcPr>
        <w:p>
          <w:pPr>
            <w:pStyle w:val="6"/>
          </w:pPr>
          <w:r>
            <w:t>Subject主</w:t>
          </w:r>
          <w:r>
            <w:rPr>
              <w:rFonts w:hint="eastAsia"/>
            </w:rPr>
            <w:t>题</w:t>
          </w:r>
        </w:p>
      </w:tc>
      <w:tc>
        <w:tcPr>
          <w:tcW w:w="3336" w:type="pct"/>
          <w:shd w:val="clear" w:color="auto" w:fill="auto"/>
          <w:vAlign w:val="center"/>
        </w:tcPr>
        <w:p>
          <w:pPr>
            <w:pStyle w:val="6"/>
          </w:pPr>
          <w:r>
            <w:rPr>
              <w:rFonts w:hint="eastAsia"/>
            </w:rPr>
            <w:t>人类遗传资源管理上海服务站功能提升建设项目</w:t>
          </w:r>
        </w:p>
      </w:tc>
    </w:tr>
  </w:tbl>
  <w:p>
    <w:pPr>
      <w:ind w:firstLine="0" w:firstLineChars="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A300CC"/>
    <w:multiLevelType w:val="multilevel"/>
    <w:tmpl w:val="76A300CC"/>
    <w:lvl w:ilvl="0" w:tentative="0">
      <w:start w:val="1"/>
      <w:numFmt w:val="chineseCounting"/>
      <w:pStyle w:val="2"/>
      <w:suff w:val="nothing"/>
      <w:lvlText w:val="%1、"/>
      <w:lvlJc w:val="left"/>
      <w:pPr>
        <w:ind w:left="0" w:firstLine="400"/>
      </w:pPr>
      <w:rPr>
        <w:rFonts w:hint="eastAsia"/>
        <w:lang w:val="en-GB"/>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zdjYjAwOGIxMjI2YzM5MTJhMmM5NGUyMTkwN2EifQ=="/>
  </w:docVars>
  <w:rsids>
    <w:rsidRoot w:val="00FE4B8D"/>
    <w:rsid w:val="00002022"/>
    <w:rsid w:val="00010A3E"/>
    <w:rsid w:val="00012ADB"/>
    <w:rsid w:val="00016837"/>
    <w:rsid w:val="00017E4A"/>
    <w:rsid w:val="00030E40"/>
    <w:rsid w:val="0003199F"/>
    <w:rsid w:val="0003201C"/>
    <w:rsid w:val="00041DCE"/>
    <w:rsid w:val="00045792"/>
    <w:rsid w:val="00045C2C"/>
    <w:rsid w:val="000651AF"/>
    <w:rsid w:val="00065544"/>
    <w:rsid w:val="0007144A"/>
    <w:rsid w:val="0008635A"/>
    <w:rsid w:val="000875AC"/>
    <w:rsid w:val="00090E24"/>
    <w:rsid w:val="00093006"/>
    <w:rsid w:val="000945C8"/>
    <w:rsid w:val="0009780D"/>
    <w:rsid w:val="000978F0"/>
    <w:rsid w:val="000A0602"/>
    <w:rsid w:val="000A1052"/>
    <w:rsid w:val="000A5FAD"/>
    <w:rsid w:val="000B1212"/>
    <w:rsid w:val="000B1CF0"/>
    <w:rsid w:val="000C2573"/>
    <w:rsid w:val="000C2ADC"/>
    <w:rsid w:val="000C4986"/>
    <w:rsid w:val="000C73CF"/>
    <w:rsid w:val="000E0EC6"/>
    <w:rsid w:val="000E31C7"/>
    <w:rsid w:val="000E578F"/>
    <w:rsid w:val="000F2B2C"/>
    <w:rsid w:val="001022A9"/>
    <w:rsid w:val="00104DD7"/>
    <w:rsid w:val="00106587"/>
    <w:rsid w:val="00107813"/>
    <w:rsid w:val="001146EB"/>
    <w:rsid w:val="0011495F"/>
    <w:rsid w:val="00122B13"/>
    <w:rsid w:val="00126ECD"/>
    <w:rsid w:val="00127953"/>
    <w:rsid w:val="00132F7B"/>
    <w:rsid w:val="0013427F"/>
    <w:rsid w:val="001345A6"/>
    <w:rsid w:val="00153A53"/>
    <w:rsid w:val="00157950"/>
    <w:rsid w:val="00161A85"/>
    <w:rsid w:val="00161DB6"/>
    <w:rsid w:val="001624EC"/>
    <w:rsid w:val="00163C09"/>
    <w:rsid w:val="00176DA9"/>
    <w:rsid w:val="00183EE9"/>
    <w:rsid w:val="001846B8"/>
    <w:rsid w:val="0018561B"/>
    <w:rsid w:val="00192590"/>
    <w:rsid w:val="0019475D"/>
    <w:rsid w:val="001A17B1"/>
    <w:rsid w:val="001A6A1F"/>
    <w:rsid w:val="001B463C"/>
    <w:rsid w:val="001C30E3"/>
    <w:rsid w:val="001C4FFF"/>
    <w:rsid w:val="001D1DA6"/>
    <w:rsid w:val="001D6307"/>
    <w:rsid w:val="001E106B"/>
    <w:rsid w:val="001E377D"/>
    <w:rsid w:val="001F128A"/>
    <w:rsid w:val="001F225A"/>
    <w:rsid w:val="001F5FDB"/>
    <w:rsid w:val="002275CC"/>
    <w:rsid w:val="002328AF"/>
    <w:rsid w:val="00237132"/>
    <w:rsid w:val="0023771E"/>
    <w:rsid w:val="00244451"/>
    <w:rsid w:val="00247773"/>
    <w:rsid w:val="00252CA3"/>
    <w:rsid w:val="002547F5"/>
    <w:rsid w:val="00260975"/>
    <w:rsid w:val="00260FE9"/>
    <w:rsid w:val="00261BAB"/>
    <w:rsid w:val="002643F5"/>
    <w:rsid w:val="0026569D"/>
    <w:rsid w:val="0026727B"/>
    <w:rsid w:val="00270284"/>
    <w:rsid w:val="00270E60"/>
    <w:rsid w:val="00276B26"/>
    <w:rsid w:val="0028333B"/>
    <w:rsid w:val="002840AE"/>
    <w:rsid w:val="002870CD"/>
    <w:rsid w:val="00292652"/>
    <w:rsid w:val="00292925"/>
    <w:rsid w:val="00293417"/>
    <w:rsid w:val="00294CB1"/>
    <w:rsid w:val="002A0E26"/>
    <w:rsid w:val="002A1982"/>
    <w:rsid w:val="002A3BA4"/>
    <w:rsid w:val="002A6BD4"/>
    <w:rsid w:val="002C02AE"/>
    <w:rsid w:val="002C0379"/>
    <w:rsid w:val="002C548A"/>
    <w:rsid w:val="002C5F03"/>
    <w:rsid w:val="002D13AD"/>
    <w:rsid w:val="002D41C8"/>
    <w:rsid w:val="002E6925"/>
    <w:rsid w:val="002F0774"/>
    <w:rsid w:val="002F13B5"/>
    <w:rsid w:val="002F34CA"/>
    <w:rsid w:val="00303EC2"/>
    <w:rsid w:val="003050F9"/>
    <w:rsid w:val="00305B84"/>
    <w:rsid w:val="0031016B"/>
    <w:rsid w:val="003141E3"/>
    <w:rsid w:val="00315AE9"/>
    <w:rsid w:val="00321F00"/>
    <w:rsid w:val="003273D5"/>
    <w:rsid w:val="0033309E"/>
    <w:rsid w:val="00340105"/>
    <w:rsid w:val="003463C2"/>
    <w:rsid w:val="00353220"/>
    <w:rsid w:val="0036000A"/>
    <w:rsid w:val="00360167"/>
    <w:rsid w:val="00363D0F"/>
    <w:rsid w:val="00365F3D"/>
    <w:rsid w:val="00380B11"/>
    <w:rsid w:val="00380E88"/>
    <w:rsid w:val="003856F7"/>
    <w:rsid w:val="00393ED5"/>
    <w:rsid w:val="0039626B"/>
    <w:rsid w:val="003A30FB"/>
    <w:rsid w:val="003C1164"/>
    <w:rsid w:val="003E01FE"/>
    <w:rsid w:val="003E6282"/>
    <w:rsid w:val="003E77FD"/>
    <w:rsid w:val="003F25E1"/>
    <w:rsid w:val="0040013C"/>
    <w:rsid w:val="0040166C"/>
    <w:rsid w:val="0040552C"/>
    <w:rsid w:val="00405655"/>
    <w:rsid w:val="004117B0"/>
    <w:rsid w:val="0041558C"/>
    <w:rsid w:val="00415C40"/>
    <w:rsid w:val="00424B00"/>
    <w:rsid w:val="00430F61"/>
    <w:rsid w:val="00433A83"/>
    <w:rsid w:val="00434901"/>
    <w:rsid w:val="00440C6A"/>
    <w:rsid w:val="004451F3"/>
    <w:rsid w:val="00446E13"/>
    <w:rsid w:val="00453E7E"/>
    <w:rsid w:val="00463F88"/>
    <w:rsid w:val="00483BC6"/>
    <w:rsid w:val="00487178"/>
    <w:rsid w:val="00496EDB"/>
    <w:rsid w:val="004A33BA"/>
    <w:rsid w:val="004B2F09"/>
    <w:rsid w:val="004B514D"/>
    <w:rsid w:val="004C0575"/>
    <w:rsid w:val="004C4EB6"/>
    <w:rsid w:val="004E18DB"/>
    <w:rsid w:val="004F07BC"/>
    <w:rsid w:val="004F1183"/>
    <w:rsid w:val="004F26E1"/>
    <w:rsid w:val="004F371A"/>
    <w:rsid w:val="004F7D1D"/>
    <w:rsid w:val="0050198A"/>
    <w:rsid w:val="00505E6B"/>
    <w:rsid w:val="00510752"/>
    <w:rsid w:val="005115C1"/>
    <w:rsid w:val="005144D2"/>
    <w:rsid w:val="00515189"/>
    <w:rsid w:val="005236DD"/>
    <w:rsid w:val="00527DA4"/>
    <w:rsid w:val="00530643"/>
    <w:rsid w:val="00534604"/>
    <w:rsid w:val="0053476B"/>
    <w:rsid w:val="00537F68"/>
    <w:rsid w:val="00550F48"/>
    <w:rsid w:val="00555A03"/>
    <w:rsid w:val="00557607"/>
    <w:rsid w:val="005612B1"/>
    <w:rsid w:val="00564B09"/>
    <w:rsid w:val="00570654"/>
    <w:rsid w:val="00572C52"/>
    <w:rsid w:val="00587B9B"/>
    <w:rsid w:val="00593FFA"/>
    <w:rsid w:val="005940A3"/>
    <w:rsid w:val="005A1F82"/>
    <w:rsid w:val="005C2D5F"/>
    <w:rsid w:val="005C2E00"/>
    <w:rsid w:val="005C4DC9"/>
    <w:rsid w:val="005C575A"/>
    <w:rsid w:val="005C6E18"/>
    <w:rsid w:val="005D3CB7"/>
    <w:rsid w:val="005E1D2D"/>
    <w:rsid w:val="005F515B"/>
    <w:rsid w:val="00600C71"/>
    <w:rsid w:val="00600F99"/>
    <w:rsid w:val="00603E11"/>
    <w:rsid w:val="006165DE"/>
    <w:rsid w:val="006227A1"/>
    <w:rsid w:val="00624B58"/>
    <w:rsid w:val="00624BD3"/>
    <w:rsid w:val="00625DB8"/>
    <w:rsid w:val="00640DA0"/>
    <w:rsid w:val="0064515A"/>
    <w:rsid w:val="0064595E"/>
    <w:rsid w:val="0066488D"/>
    <w:rsid w:val="00665BF8"/>
    <w:rsid w:val="00665F1E"/>
    <w:rsid w:val="006715B0"/>
    <w:rsid w:val="00674317"/>
    <w:rsid w:val="00675C1D"/>
    <w:rsid w:val="00681402"/>
    <w:rsid w:val="0068571A"/>
    <w:rsid w:val="006864AD"/>
    <w:rsid w:val="0069592C"/>
    <w:rsid w:val="006A3971"/>
    <w:rsid w:val="006A6551"/>
    <w:rsid w:val="006A7E7C"/>
    <w:rsid w:val="006B16C1"/>
    <w:rsid w:val="006B1A80"/>
    <w:rsid w:val="006B69C4"/>
    <w:rsid w:val="006B78D9"/>
    <w:rsid w:val="006C0FD7"/>
    <w:rsid w:val="006C33E2"/>
    <w:rsid w:val="006D076F"/>
    <w:rsid w:val="006D1B3B"/>
    <w:rsid w:val="006D3920"/>
    <w:rsid w:val="006E2471"/>
    <w:rsid w:val="006E6057"/>
    <w:rsid w:val="006E6C4E"/>
    <w:rsid w:val="006F3027"/>
    <w:rsid w:val="006F340A"/>
    <w:rsid w:val="006F72A9"/>
    <w:rsid w:val="00704AFF"/>
    <w:rsid w:val="007127BD"/>
    <w:rsid w:val="00712D59"/>
    <w:rsid w:val="007168B7"/>
    <w:rsid w:val="007207C1"/>
    <w:rsid w:val="0072271A"/>
    <w:rsid w:val="007362A2"/>
    <w:rsid w:val="007370DC"/>
    <w:rsid w:val="00741B65"/>
    <w:rsid w:val="00751BC0"/>
    <w:rsid w:val="0075549D"/>
    <w:rsid w:val="00761FBD"/>
    <w:rsid w:val="007674E3"/>
    <w:rsid w:val="007759E2"/>
    <w:rsid w:val="00776AFE"/>
    <w:rsid w:val="00783E48"/>
    <w:rsid w:val="00785C99"/>
    <w:rsid w:val="00786F91"/>
    <w:rsid w:val="007A10B6"/>
    <w:rsid w:val="007A11E0"/>
    <w:rsid w:val="007A49B4"/>
    <w:rsid w:val="007B0146"/>
    <w:rsid w:val="007B2579"/>
    <w:rsid w:val="007B3689"/>
    <w:rsid w:val="007C0059"/>
    <w:rsid w:val="007C7053"/>
    <w:rsid w:val="007E47D6"/>
    <w:rsid w:val="007F2F3E"/>
    <w:rsid w:val="00807261"/>
    <w:rsid w:val="00811AB8"/>
    <w:rsid w:val="00815D40"/>
    <w:rsid w:val="00816182"/>
    <w:rsid w:val="008211CD"/>
    <w:rsid w:val="00827D35"/>
    <w:rsid w:val="0083758B"/>
    <w:rsid w:val="0084190E"/>
    <w:rsid w:val="008441FC"/>
    <w:rsid w:val="008476E8"/>
    <w:rsid w:val="00852820"/>
    <w:rsid w:val="008608AC"/>
    <w:rsid w:val="00864C28"/>
    <w:rsid w:val="008B12FB"/>
    <w:rsid w:val="008C594A"/>
    <w:rsid w:val="008C5B39"/>
    <w:rsid w:val="008D4B5D"/>
    <w:rsid w:val="008F48C1"/>
    <w:rsid w:val="008F7307"/>
    <w:rsid w:val="009014C6"/>
    <w:rsid w:val="00901643"/>
    <w:rsid w:val="009024AF"/>
    <w:rsid w:val="009027E3"/>
    <w:rsid w:val="009027ED"/>
    <w:rsid w:val="00907F94"/>
    <w:rsid w:val="00914900"/>
    <w:rsid w:val="00915CFC"/>
    <w:rsid w:val="00927C9E"/>
    <w:rsid w:val="0093480B"/>
    <w:rsid w:val="009404AD"/>
    <w:rsid w:val="00942532"/>
    <w:rsid w:val="00951C38"/>
    <w:rsid w:val="00953DDF"/>
    <w:rsid w:val="00964112"/>
    <w:rsid w:val="009700A5"/>
    <w:rsid w:val="0097510D"/>
    <w:rsid w:val="00981168"/>
    <w:rsid w:val="009A24AD"/>
    <w:rsid w:val="009A4C9E"/>
    <w:rsid w:val="009A5FD0"/>
    <w:rsid w:val="009A6B2F"/>
    <w:rsid w:val="009B35FC"/>
    <w:rsid w:val="009B6E40"/>
    <w:rsid w:val="009C2664"/>
    <w:rsid w:val="009C431A"/>
    <w:rsid w:val="009C4A22"/>
    <w:rsid w:val="009D48E0"/>
    <w:rsid w:val="009D7267"/>
    <w:rsid w:val="009E5FB7"/>
    <w:rsid w:val="009E6AD5"/>
    <w:rsid w:val="009F0558"/>
    <w:rsid w:val="009F5ED2"/>
    <w:rsid w:val="00A01EE0"/>
    <w:rsid w:val="00A0285A"/>
    <w:rsid w:val="00A058BE"/>
    <w:rsid w:val="00A06579"/>
    <w:rsid w:val="00A1090A"/>
    <w:rsid w:val="00A154CE"/>
    <w:rsid w:val="00A173AA"/>
    <w:rsid w:val="00A209A5"/>
    <w:rsid w:val="00A24E4F"/>
    <w:rsid w:val="00A35EE5"/>
    <w:rsid w:val="00A40DA4"/>
    <w:rsid w:val="00A4350A"/>
    <w:rsid w:val="00A446A3"/>
    <w:rsid w:val="00A53360"/>
    <w:rsid w:val="00A57CB4"/>
    <w:rsid w:val="00A62E8E"/>
    <w:rsid w:val="00A667CA"/>
    <w:rsid w:val="00A67587"/>
    <w:rsid w:val="00A74876"/>
    <w:rsid w:val="00A74C77"/>
    <w:rsid w:val="00A91DD2"/>
    <w:rsid w:val="00A944B8"/>
    <w:rsid w:val="00A9459D"/>
    <w:rsid w:val="00AB26D1"/>
    <w:rsid w:val="00AB4220"/>
    <w:rsid w:val="00AB5CE1"/>
    <w:rsid w:val="00AB677B"/>
    <w:rsid w:val="00AB789C"/>
    <w:rsid w:val="00AC221C"/>
    <w:rsid w:val="00AC4FAB"/>
    <w:rsid w:val="00AC5BD0"/>
    <w:rsid w:val="00AD19BE"/>
    <w:rsid w:val="00AD364B"/>
    <w:rsid w:val="00AD54AF"/>
    <w:rsid w:val="00AE095E"/>
    <w:rsid w:val="00AE12FA"/>
    <w:rsid w:val="00AE7328"/>
    <w:rsid w:val="00AF2E28"/>
    <w:rsid w:val="00AF627E"/>
    <w:rsid w:val="00B01C36"/>
    <w:rsid w:val="00B03303"/>
    <w:rsid w:val="00B05A12"/>
    <w:rsid w:val="00B06752"/>
    <w:rsid w:val="00B07A21"/>
    <w:rsid w:val="00B10EFE"/>
    <w:rsid w:val="00B15656"/>
    <w:rsid w:val="00B20C0C"/>
    <w:rsid w:val="00B218D2"/>
    <w:rsid w:val="00B2398B"/>
    <w:rsid w:val="00B32BA0"/>
    <w:rsid w:val="00B459BC"/>
    <w:rsid w:val="00B57CD3"/>
    <w:rsid w:val="00B83907"/>
    <w:rsid w:val="00B84D34"/>
    <w:rsid w:val="00B866F2"/>
    <w:rsid w:val="00B871EE"/>
    <w:rsid w:val="00B873C7"/>
    <w:rsid w:val="00BA1F33"/>
    <w:rsid w:val="00BA3E44"/>
    <w:rsid w:val="00BB265E"/>
    <w:rsid w:val="00BB3760"/>
    <w:rsid w:val="00BB43D4"/>
    <w:rsid w:val="00BB57D7"/>
    <w:rsid w:val="00BB610C"/>
    <w:rsid w:val="00BB72BD"/>
    <w:rsid w:val="00BC0B7C"/>
    <w:rsid w:val="00BC2460"/>
    <w:rsid w:val="00BC7956"/>
    <w:rsid w:val="00BD14FC"/>
    <w:rsid w:val="00BD2A9A"/>
    <w:rsid w:val="00BD75F2"/>
    <w:rsid w:val="00BE27FC"/>
    <w:rsid w:val="00BE4C26"/>
    <w:rsid w:val="00BE75CB"/>
    <w:rsid w:val="00BE7A06"/>
    <w:rsid w:val="00BF15B5"/>
    <w:rsid w:val="00BF23CD"/>
    <w:rsid w:val="00BF2D0D"/>
    <w:rsid w:val="00BF2EA3"/>
    <w:rsid w:val="00BF56D6"/>
    <w:rsid w:val="00BF5920"/>
    <w:rsid w:val="00BF6103"/>
    <w:rsid w:val="00C0008F"/>
    <w:rsid w:val="00C05F4E"/>
    <w:rsid w:val="00C069E0"/>
    <w:rsid w:val="00C13CB9"/>
    <w:rsid w:val="00C14370"/>
    <w:rsid w:val="00C22F92"/>
    <w:rsid w:val="00C33119"/>
    <w:rsid w:val="00C348A6"/>
    <w:rsid w:val="00C35611"/>
    <w:rsid w:val="00C471CE"/>
    <w:rsid w:val="00C51DF8"/>
    <w:rsid w:val="00C5605C"/>
    <w:rsid w:val="00C60225"/>
    <w:rsid w:val="00C72FE6"/>
    <w:rsid w:val="00C73D2B"/>
    <w:rsid w:val="00C75603"/>
    <w:rsid w:val="00C85978"/>
    <w:rsid w:val="00C94AFA"/>
    <w:rsid w:val="00CA09BB"/>
    <w:rsid w:val="00CA1D23"/>
    <w:rsid w:val="00CA2FE3"/>
    <w:rsid w:val="00CA49E7"/>
    <w:rsid w:val="00CA4C28"/>
    <w:rsid w:val="00CA58EB"/>
    <w:rsid w:val="00CA65E7"/>
    <w:rsid w:val="00CB1644"/>
    <w:rsid w:val="00CC2870"/>
    <w:rsid w:val="00CC2FE4"/>
    <w:rsid w:val="00CC62BF"/>
    <w:rsid w:val="00CD1094"/>
    <w:rsid w:val="00CD3C19"/>
    <w:rsid w:val="00CD6B2B"/>
    <w:rsid w:val="00CD7BE7"/>
    <w:rsid w:val="00CE1475"/>
    <w:rsid w:val="00CE4D71"/>
    <w:rsid w:val="00CF52AB"/>
    <w:rsid w:val="00D27CAA"/>
    <w:rsid w:val="00D35B3D"/>
    <w:rsid w:val="00D4507F"/>
    <w:rsid w:val="00D61819"/>
    <w:rsid w:val="00D72643"/>
    <w:rsid w:val="00D8087C"/>
    <w:rsid w:val="00D921CB"/>
    <w:rsid w:val="00D93EA4"/>
    <w:rsid w:val="00D948B8"/>
    <w:rsid w:val="00DA66B8"/>
    <w:rsid w:val="00DC30FD"/>
    <w:rsid w:val="00DC3525"/>
    <w:rsid w:val="00DD0172"/>
    <w:rsid w:val="00DD0B61"/>
    <w:rsid w:val="00DD0EA4"/>
    <w:rsid w:val="00DD2A38"/>
    <w:rsid w:val="00DD5304"/>
    <w:rsid w:val="00DD5B7A"/>
    <w:rsid w:val="00DE1CE4"/>
    <w:rsid w:val="00DE534A"/>
    <w:rsid w:val="00DE67F3"/>
    <w:rsid w:val="00DE7356"/>
    <w:rsid w:val="00E02F3F"/>
    <w:rsid w:val="00E12AA2"/>
    <w:rsid w:val="00E14952"/>
    <w:rsid w:val="00E26E69"/>
    <w:rsid w:val="00E45128"/>
    <w:rsid w:val="00E46AB3"/>
    <w:rsid w:val="00E5148C"/>
    <w:rsid w:val="00E5507B"/>
    <w:rsid w:val="00E560E6"/>
    <w:rsid w:val="00E5684D"/>
    <w:rsid w:val="00E6712C"/>
    <w:rsid w:val="00E82F9F"/>
    <w:rsid w:val="00E83C4C"/>
    <w:rsid w:val="00E8520D"/>
    <w:rsid w:val="00E93F45"/>
    <w:rsid w:val="00E96464"/>
    <w:rsid w:val="00EA0640"/>
    <w:rsid w:val="00EA238C"/>
    <w:rsid w:val="00EA3689"/>
    <w:rsid w:val="00EA53C2"/>
    <w:rsid w:val="00EA789E"/>
    <w:rsid w:val="00EB0326"/>
    <w:rsid w:val="00EB377D"/>
    <w:rsid w:val="00EB74B8"/>
    <w:rsid w:val="00EC21E6"/>
    <w:rsid w:val="00EE2210"/>
    <w:rsid w:val="00EE2381"/>
    <w:rsid w:val="00EE3B45"/>
    <w:rsid w:val="00EE784A"/>
    <w:rsid w:val="00F02A49"/>
    <w:rsid w:val="00F066E6"/>
    <w:rsid w:val="00F06859"/>
    <w:rsid w:val="00F176F6"/>
    <w:rsid w:val="00F220CE"/>
    <w:rsid w:val="00F22A26"/>
    <w:rsid w:val="00F230ED"/>
    <w:rsid w:val="00F25D31"/>
    <w:rsid w:val="00F2789E"/>
    <w:rsid w:val="00F61662"/>
    <w:rsid w:val="00F70978"/>
    <w:rsid w:val="00F72EAA"/>
    <w:rsid w:val="00F736C1"/>
    <w:rsid w:val="00F826F3"/>
    <w:rsid w:val="00F95622"/>
    <w:rsid w:val="00FA4B6C"/>
    <w:rsid w:val="00FB13D1"/>
    <w:rsid w:val="00FB189A"/>
    <w:rsid w:val="00FB1DC8"/>
    <w:rsid w:val="00FC66E0"/>
    <w:rsid w:val="00FE4B8D"/>
    <w:rsid w:val="00FE4CA4"/>
    <w:rsid w:val="00FF531C"/>
    <w:rsid w:val="01132487"/>
    <w:rsid w:val="0185707B"/>
    <w:rsid w:val="04020CDE"/>
    <w:rsid w:val="09C16117"/>
    <w:rsid w:val="0A1C72DC"/>
    <w:rsid w:val="0A6720A3"/>
    <w:rsid w:val="0B0B360F"/>
    <w:rsid w:val="0DD41FB1"/>
    <w:rsid w:val="0E3A7854"/>
    <w:rsid w:val="10A85F4A"/>
    <w:rsid w:val="114F6D30"/>
    <w:rsid w:val="12E50A56"/>
    <w:rsid w:val="13CE3421"/>
    <w:rsid w:val="178463B3"/>
    <w:rsid w:val="18B9693B"/>
    <w:rsid w:val="19AF6E9B"/>
    <w:rsid w:val="1A101ED4"/>
    <w:rsid w:val="1A397735"/>
    <w:rsid w:val="1A82318C"/>
    <w:rsid w:val="1B373F0C"/>
    <w:rsid w:val="1C82411E"/>
    <w:rsid w:val="1DA63EA7"/>
    <w:rsid w:val="1F853BDD"/>
    <w:rsid w:val="1FBA70E0"/>
    <w:rsid w:val="24373239"/>
    <w:rsid w:val="249860AF"/>
    <w:rsid w:val="251517B5"/>
    <w:rsid w:val="27B15C9B"/>
    <w:rsid w:val="2A152529"/>
    <w:rsid w:val="2B54022C"/>
    <w:rsid w:val="2DB64284"/>
    <w:rsid w:val="2E2548DB"/>
    <w:rsid w:val="2E6A2B99"/>
    <w:rsid w:val="2F397E65"/>
    <w:rsid w:val="2F880DEC"/>
    <w:rsid w:val="2FA07EE4"/>
    <w:rsid w:val="33520800"/>
    <w:rsid w:val="33F407FF"/>
    <w:rsid w:val="342C2925"/>
    <w:rsid w:val="379901AF"/>
    <w:rsid w:val="396A42C9"/>
    <w:rsid w:val="39B20F40"/>
    <w:rsid w:val="39B5089F"/>
    <w:rsid w:val="39ED2C65"/>
    <w:rsid w:val="3C77274C"/>
    <w:rsid w:val="3F0A0347"/>
    <w:rsid w:val="3F850EA5"/>
    <w:rsid w:val="422051F0"/>
    <w:rsid w:val="441427F7"/>
    <w:rsid w:val="47573E46"/>
    <w:rsid w:val="4A2F3557"/>
    <w:rsid w:val="4B403D83"/>
    <w:rsid w:val="4CF3569F"/>
    <w:rsid w:val="4FD956E0"/>
    <w:rsid w:val="50A000DF"/>
    <w:rsid w:val="56682C5A"/>
    <w:rsid w:val="57374E20"/>
    <w:rsid w:val="5DC7295C"/>
    <w:rsid w:val="5EE57718"/>
    <w:rsid w:val="5FC626F1"/>
    <w:rsid w:val="60A83DB3"/>
    <w:rsid w:val="61B43B83"/>
    <w:rsid w:val="62C9408F"/>
    <w:rsid w:val="665A58DB"/>
    <w:rsid w:val="67944AAC"/>
    <w:rsid w:val="6C0E0099"/>
    <w:rsid w:val="6F515D60"/>
    <w:rsid w:val="72127391"/>
    <w:rsid w:val="721F6634"/>
    <w:rsid w:val="72C1491D"/>
    <w:rsid w:val="75D90B87"/>
    <w:rsid w:val="774E15A1"/>
    <w:rsid w:val="78AD0549"/>
    <w:rsid w:val="79245E80"/>
    <w:rsid w:val="7B040BD6"/>
    <w:rsid w:val="7ECC7AC4"/>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ascii="宋体" w:hAnsi="宋体" w:eastAsia="宋体" w:cs="宋体"/>
      <w:snapToGrid w:val="0"/>
      <w:sz w:val="24"/>
      <w:szCs w:val="24"/>
      <w:lang w:val="en-GB" w:eastAsia="zh-CN" w:bidi="th-TH"/>
    </w:rPr>
  </w:style>
  <w:style w:type="paragraph" w:styleId="2">
    <w:name w:val="heading 1"/>
    <w:next w:val="1"/>
    <w:link w:val="18"/>
    <w:qFormat/>
    <w:uiPriority w:val="0"/>
    <w:pPr>
      <w:keepNext/>
      <w:numPr>
        <w:ilvl w:val="0"/>
        <w:numId w:val="1"/>
      </w:numPr>
      <w:tabs>
        <w:tab w:val="left" w:pos="7696"/>
      </w:tabs>
      <w:suppressAutoHyphens/>
      <w:spacing w:before="50" w:beforeLines="50" w:after="50" w:afterLines="50" w:line="360" w:lineRule="auto"/>
      <w:ind w:firstLine="0"/>
      <w:outlineLvl w:val="0"/>
    </w:pPr>
    <w:rPr>
      <w:rFonts w:ascii="宋体" w:hAnsi="宋体" w:eastAsia="黑体" w:cs="Arial"/>
      <w:snapToGrid w:val="0"/>
      <w:sz w:val="30"/>
      <w:szCs w:val="30"/>
      <w:lang w:val="en-GB" w:eastAsia="zh-CN" w:bidi="th-TH"/>
    </w:rPr>
  </w:style>
  <w:style w:type="paragraph" w:styleId="3">
    <w:name w:val="heading 2"/>
    <w:basedOn w:val="1"/>
    <w:next w:val="1"/>
    <w:link w:val="19"/>
    <w:qFormat/>
    <w:uiPriority w:val="0"/>
    <w:pPr>
      <w:tabs>
        <w:tab w:val="left" w:pos="851"/>
        <w:tab w:val="left" w:pos="8647"/>
      </w:tabs>
      <w:spacing w:before="120" w:after="120"/>
      <w:outlineLvl w:val="1"/>
    </w:p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semiHidden/>
    <w:unhideWhenUsed/>
    <w:qFormat/>
    <w:uiPriority w:val="99"/>
    <w:pPr>
      <w:widowControl w:val="0"/>
    </w:pPr>
    <w:rPr>
      <w:rFonts w:ascii="Calibri" w:hAnsi="Calibri" w:cs="Times New Roman"/>
      <w:kern w:val="2"/>
      <w:sz w:val="21"/>
      <w:szCs w:val="22"/>
      <w:lang w:val="en-US" w:bidi="ar-SA"/>
    </w:rPr>
  </w:style>
  <w:style w:type="paragraph" w:styleId="5">
    <w:name w:val="footer"/>
    <w:basedOn w:val="1"/>
    <w:link w:val="15"/>
    <w:qFormat/>
    <w:uiPriority w:val="0"/>
    <w:pPr>
      <w:tabs>
        <w:tab w:val="center" w:pos="4153"/>
        <w:tab w:val="right" w:pos="8306"/>
      </w:tabs>
      <w:snapToGrid w:val="0"/>
    </w:pPr>
    <w:rPr>
      <w:sz w:val="18"/>
      <w:szCs w:val="18"/>
    </w:rPr>
  </w:style>
  <w:style w:type="paragraph" w:styleId="6">
    <w:name w:val="header"/>
    <w:link w:val="17"/>
    <w:unhideWhenUsed/>
    <w:qFormat/>
    <w:uiPriority w:val="99"/>
    <w:pPr>
      <w:tabs>
        <w:tab w:val="center" w:pos="4513"/>
        <w:tab w:val="right" w:pos="9026"/>
      </w:tabs>
      <w:jc w:val="center"/>
    </w:pPr>
    <w:rPr>
      <w:rFonts w:ascii="宋体" w:hAnsi="宋体" w:eastAsia="宋体" w:cs="宋体"/>
      <w:snapToGrid w:val="0"/>
      <w:sz w:val="18"/>
      <w:szCs w:val="18"/>
      <w:lang w:val="en-GB" w:eastAsia="zh-CN" w:bidi="th-TH"/>
    </w:rPr>
  </w:style>
  <w:style w:type="paragraph" w:styleId="7">
    <w:name w:val="toc 1"/>
    <w:basedOn w:val="1"/>
    <w:next w:val="1"/>
    <w:unhideWhenUsed/>
    <w:qFormat/>
    <w:uiPriority w:val="39"/>
  </w:style>
  <w:style w:type="paragraph" w:styleId="8">
    <w:name w:val="Subtitle"/>
    <w:basedOn w:val="1"/>
    <w:next w:val="1"/>
    <w:link w:val="29"/>
    <w:qFormat/>
    <w:uiPriority w:val="11"/>
    <w:pPr>
      <w:spacing w:before="240" w:after="60" w:line="312" w:lineRule="auto"/>
      <w:jc w:val="center"/>
      <w:outlineLvl w:val="1"/>
    </w:pPr>
    <w:rPr>
      <w:rFonts w:cs="Angsana New" w:asciiTheme="minorHAnsi" w:hAnsiTheme="minorHAnsi" w:eastAsiaTheme="minorEastAsia"/>
      <w:b/>
      <w:bCs/>
      <w:kern w:val="28"/>
      <w:sz w:val="32"/>
      <w:szCs w:val="40"/>
    </w:rPr>
  </w:style>
  <w:style w:type="paragraph" w:styleId="9">
    <w:name w:val="toc 2"/>
    <w:basedOn w:val="1"/>
    <w:next w:val="1"/>
    <w:semiHidden/>
    <w:unhideWhenUsed/>
    <w:qFormat/>
    <w:uiPriority w:val="39"/>
    <w:pPr>
      <w:ind w:left="420" w:leftChars="200"/>
    </w:pPr>
  </w:style>
  <w:style w:type="paragraph" w:styleId="10">
    <w:name w:val="Title"/>
    <w:basedOn w:val="1"/>
    <w:next w:val="1"/>
    <w:link w:val="28"/>
    <w:qFormat/>
    <w:uiPriority w:val="10"/>
    <w:pPr>
      <w:widowControl w:val="0"/>
      <w:ind w:firstLine="0" w:firstLineChars="0"/>
      <w:jc w:val="center"/>
    </w:pPr>
    <w:rPr>
      <w:rFonts w:ascii="Times New Roman" w:hAnsi="Times New Roman" w:eastAsia="黑体" w:cs="Times New Roman"/>
      <w:kern w:val="2"/>
      <w:sz w:val="48"/>
      <w:szCs w:val="48"/>
      <w:lang w:val="en-US" w:bidi="ar-SA"/>
    </w:rPr>
  </w:style>
  <w:style w:type="table" w:styleId="12">
    <w:name w:val="Table Grid"/>
    <w:basedOn w:val="11"/>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页脚 字符"/>
    <w:basedOn w:val="13"/>
    <w:link w:val="5"/>
    <w:qFormat/>
    <w:uiPriority w:val="0"/>
    <w:rPr>
      <w:rFonts w:ascii="Arial" w:hAnsi="Arial" w:eastAsia="宋体" w:cs="Angsana New"/>
      <w:b/>
      <w:bCs/>
      <w:sz w:val="18"/>
      <w:szCs w:val="18"/>
      <w:lang w:bidi="th-TH"/>
    </w:rPr>
  </w:style>
  <w:style w:type="paragraph" w:customStyle="1" w:styleId="16">
    <w:name w:val="表头"/>
    <w:link w:val="22"/>
    <w:qFormat/>
    <w:uiPriority w:val="0"/>
    <w:pPr>
      <w:framePr w:hSpace="181" w:wrap="around" w:vAnchor="text" w:hAnchor="page" w:xAlign="center" w:y="10"/>
      <w:suppressOverlap/>
      <w:tabs>
        <w:tab w:val="center" w:pos="2268"/>
        <w:tab w:val="right" w:pos="5387"/>
      </w:tabs>
      <w:snapToGrid w:val="0"/>
      <w:jc w:val="center"/>
    </w:pPr>
    <w:rPr>
      <w:rFonts w:ascii="Times New Roman" w:hAnsi="Times New Roman" w:eastAsia="宋体" w:cs="宋体"/>
      <w:b/>
      <w:bCs/>
      <w:snapToGrid w:val="0"/>
      <w:kern w:val="2"/>
      <w:sz w:val="24"/>
      <w:szCs w:val="21"/>
      <w:lang w:val="en-US" w:eastAsia="zh-CN" w:bidi="th-TH"/>
    </w:rPr>
  </w:style>
  <w:style w:type="character" w:customStyle="1" w:styleId="17">
    <w:name w:val="页眉 字符"/>
    <w:basedOn w:val="13"/>
    <w:link w:val="6"/>
    <w:qFormat/>
    <w:uiPriority w:val="99"/>
    <w:rPr>
      <w:rFonts w:ascii="宋体" w:hAnsi="宋体" w:cs="宋体"/>
      <w:snapToGrid w:val="0"/>
      <w:sz w:val="18"/>
      <w:szCs w:val="18"/>
      <w:lang w:val="en-GB" w:bidi="th-TH"/>
    </w:rPr>
  </w:style>
  <w:style w:type="character" w:customStyle="1" w:styleId="18">
    <w:name w:val="标题 1 字符"/>
    <w:basedOn w:val="13"/>
    <w:link w:val="2"/>
    <w:qFormat/>
    <w:uiPriority w:val="0"/>
    <w:rPr>
      <w:rFonts w:ascii="宋体" w:hAnsi="宋体" w:eastAsia="黑体" w:cs="Arial"/>
      <w:snapToGrid w:val="0"/>
      <w:sz w:val="30"/>
      <w:szCs w:val="30"/>
      <w:lang w:val="en-GB" w:bidi="th-TH"/>
    </w:rPr>
  </w:style>
  <w:style w:type="character" w:customStyle="1" w:styleId="19">
    <w:name w:val="标题 2 字符"/>
    <w:basedOn w:val="13"/>
    <w:link w:val="3"/>
    <w:qFormat/>
    <w:uiPriority w:val="0"/>
    <w:rPr>
      <w:rFonts w:ascii="Arial" w:hAnsi="Arial" w:eastAsia="宋体" w:cs="Angsana New"/>
      <w:b/>
      <w:bCs/>
      <w:sz w:val="20"/>
      <w:szCs w:val="20"/>
      <w:lang w:bidi="th-TH"/>
    </w:rPr>
  </w:style>
  <w:style w:type="paragraph" w:customStyle="1" w:styleId="20">
    <w:name w:val="表正文加粗"/>
    <w:link w:val="26"/>
    <w:qFormat/>
    <w:uiPriority w:val="0"/>
    <w:pPr>
      <w:framePr w:hSpace="181" w:wrap="around" w:vAnchor="text" w:hAnchor="page" w:xAlign="center" w:y="10"/>
      <w:suppressOverlap/>
      <w:tabs>
        <w:tab w:val="center" w:pos="2268"/>
        <w:tab w:val="right" w:pos="5387"/>
      </w:tabs>
      <w:snapToGrid w:val="0"/>
    </w:pPr>
    <w:rPr>
      <w:rFonts w:ascii="宋体" w:hAnsi="宋体" w:eastAsia="宋体" w:cs="宋体"/>
      <w:b/>
      <w:bCs/>
      <w:snapToGrid w:val="0"/>
      <w:sz w:val="24"/>
      <w:szCs w:val="21"/>
      <w:lang w:val="en-US" w:eastAsia="zh-CN" w:bidi="th-TH"/>
    </w:rPr>
  </w:style>
  <w:style w:type="paragraph" w:customStyle="1" w:styleId="21">
    <w:name w:val="列出段落1"/>
    <w:basedOn w:val="1"/>
    <w:qFormat/>
    <w:uiPriority w:val="34"/>
    <w:pPr>
      <w:ind w:firstLine="420"/>
    </w:pPr>
    <w:rPr>
      <w:rFonts w:ascii="Calibri" w:hAnsi="Calibri"/>
      <w:szCs w:val="22"/>
    </w:rPr>
  </w:style>
  <w:style w:type="character" w:customStyle="1" w:styleId="22">
    <w:name w:val="表头 字符"/>
    <w:basedOn w:val="13"/>
    <w:link w:val="16"/>
    <w:qFormat/>
    <w:uiPriority w:val="0"/>
    <w:rPr>
      <w:rFonts w:cs="宋体"/>
      <w:b/>
      <w:bCs/>
      <w:snapToGrid w:val="0"/>
      <w:kern w:val="2"/>
      <w:sz w:val="24"/>
      <w:szCs w:val="21"/>
      <w:lang w:bidi="th-TH"/>
    </w:rPr>
  </w:style>
  <w:style w:type="paragraph" w:styleId="23">
    <w:name w:val="List Paragraph"/>
    <w:basedOn w:val="1"/>
    <w:qFormat/>
    <w:uiPriority w:val="34"/>
    <w:pPr>
      <w:ind w:left="720"/>
      <w:contextualSpacing/>
    </w:pPr>
    <w:rPr>
      <w:szCs w:val="25"/>
    </w:rPr>
  </w:style>
  <w:style w:type="character" w:customStyle="1" w:styleId="24">
    <w:name w:val="批注文字 字符"/>
    <w:basedOn w:val="13"/>
    <w:link w:val="4"/>
    <w:semiHidden/>
    <w:qFormat/>
    <w:uiPriority w:val="99"/>
    <w:rPr>
      <w:rFonts w:ascii="Calibri" w:hAnsi="Calibri" w:eastAsia="宋体" w:cs="Times New Roman"/>
      <w:kern w:val="2"/>
      <w:sz w:val="21"/>
      <w:szCs w:val="22"/>
      <w:lang w:val="en-US"/>
    </w:rPr>
  </w:style>
  <w:style w:type="paragraph" w:customStyle="1" w:styleId="25">
    <w:name w:val="表正文"/>
    <w:basedOn w:val="20"/>
    <w:link w:val="27"/>
    <w:qFormat/>
    <w:uiPriority w:val="0"/>
    <w:pPr>
      <w:framePr w:wrap="around"/>
    </w:pPr>
    <w:rPr>
      <w:b w:val="0"/>
    </w:rPr>
  </w:style>
  <w:style w:type="character" w:customStyle="1" w:styleId="26">
    <w:name w:val="表正文加粗 字符"/>
    <w:basedOn w:val="13"/>
    <w:link w:val="20"/>
    <w:qFormat/>
    <w:uiPriority w:val="0"/>
    <w:rPr>
      <w:rFonts w:ascii="宋体" w:hAnsi="宋体" w:cs="宋体"/>
      <w:b/>
      <w:bCs/>
      <w:snapToGrid w:val="0"/>
      <w:sz w:val="24"/>
      <w:szCs w:val="21"/>
      <w:lang w:bidi="th-TH"/>
    </w:rPr>
  </w:style>
  <w:style w:type="character" w:customStyle="1" w:styleId="27">
    <w:name w:val="表正文 字符"/>
    <w:basedOn w:val="26"/>
    <w:link w:val="25"/>
    <w:qFormat/>
    <w:uiPriority w:val="0"/>
    <w:rPr>
      <w:rFonts w:ascii="宋体" w:hAnsi="宋体" w:cs="宋体"/>
      <w:b w:val="0"/>
      <w:snapToGrid w:val="0"/>
      <w:sz w:val="24"/>
      <w:szCs w:val="21"/>
      <w:lang w:bidi="th-TH"/>
    </w:rPr>
  </w:style>
  <w:style w:type="character" w:customStyle="1" w:styleId="28">
    <w:name w:val="标题 字符"/>
    <w:basedOn w:val="13"/>
    <w:link w:val="10"/>
    <w:qFormat/>
    <w:uiPriority w:val="10"/>
    <w:rPr>
      <w:rFonts w:eastAsia="黑体"/>
      <w:snapToGrid w:val="0"/>
      <w:kern w:val="2"/>
      <w:sz w:val="48"/>
      <w:szCs w:val="48"/>
    </w:rPr>
  </w:style>
  <w:style w:type="character" w:customStyle="1" w:styleId="29">
    <w:name w:val="副标题 字符"/>
    <w:basedOn w:val="13"/>
    <w:link w:val="8"/>
    <w:qFormat/>
    <w:uiPriority w:val="11"/>
    <w:rPr>
      <w:rFonts w:cs="Angsana New" w:asciiTheme="minorHAnsi" w:hAnsiTheme="minorHAnsi" w:eastAsiaTheme="minorEastAsia"/>
      <w:b/>
      <w:bCs/>
      <w:snapToGrid w:val="0"/>
      <w:kern w:val="28"/>
      <w:sz w:val="32"/>
      <w:szCs w:val="40"/>
      <w:lang w:val="en-GB" w:bidi="th-TH"/>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2212</Words>
  <Characters>2280</Characters>
  <Lines>18</Lines>
  <Paragraphs>5</Paragraphs>
  <TotalTime>3</TotalTime>
  <ScaleCrop>false</ScaleCrop>
  <LinksUpToDate>false</LinksUpToDate>
  <CharactersWithSpaces>2308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2021-06-21T01:14:00Z</dcterms:created>
  <dc:creator>Microsoft Office User</dc:creator>
  <cp:lastModifiedBy>不畏将来</cp:lastModifiedBy>
  <cp:lastPrinted>2022-01-07T07:13:00Z</cp:lastPrinted>
  <dcterms:modified xsi:type="dcterms:W3CDTF">2023-10-10T05:24:18Z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FF6D8553E8314364BC0F95BD13BE5B68</vt:lpwstr>
  </property>
</Properties>
</file>